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411 vom 29. Mai 2015</w:t>
      </w:r>
    </w:p>
    <w:p>
      <w:r>
        <w:t>VD Tribunal cantonal, 2015-05-29, FR</w:t>
      </w:r>
    </w:p>
    <w:p>
      <w:r>
        <w:rPr>
          <w:b/>
        </w:rPr>
        <w:t xml:space="preserve">Quelle: </w:t>
      </w:r>
      <w:r>
        <w:t>https://mcp.opencaselaw.ch/entscheid/vd_findinfo_D_cision___2015___411</w:t>
      </w:r>
    </w:p>
    <w:p>
      <w:r>
        <w:t>FR: VD_FINDINFO Décision / 2015 / 411 du 29 mai 2015</w:t>
      </w:r>
    </w:p>
    <w:p>
      <w:r>
        <w:t>IT: VD_FINDINFO Décision / 2015 / 411 del 29 maggio 2015</w:t>
      </w:r>
    </w:p>
    <w:p>
      <w:pPr>
        <w:pStyle w:val="Heading2"/>
      </w:pPr>
      <w:r>
        <w:t>Regeste</w:t>
      </w:r>
    </w:p>
    <w:p>
      <w:r>
        <w:t>INDEMNITÉ{EN GÉNÉRAL}, AVOCAT D'OFFICE | 135 al. 3 let. a CPP (CH)</w:t>
      </w:r>
    </w:p>
    <w:p>
      <w:pPr>
        <w:pStyle w:val="Heading2"/>
      </w:pPr>
      <w:r>
        <w:t>Erwägungen</w:t>
      </w:r>
    </w:p>
    <w:p>
      <w:r>
        <w:rPr>
          <w:b/>
        </w:rPr>
        <w:t>E. 1.1</w:t>
      </w:r>
    </w:p>
    <w:p>
      <w:r>
        <w:t>Les règles sur l’indemnité due au défenseur d’office (art. 135 CPP [Code de procédure pénale suisse du 5 octobre 2007; RS 312.0]) sont applicables par analogie au conseil juridique gratuit par renvoi de l’art. 138 al. 1 CPP. L’indemnité est fixée à la fin de la procédure par le ministère public ou par le tribunal qui statue au fond (art. 135 al. 2 CPP). Le conseil juridique gratuit peut recourir devant l’autorité de recours (cf. art. 20 CPP) contre la décision du ministère public ou du tribunal de première instance fixant son indemnité (art. 135 al. 3 let. a CPP; ATF 140 IV 213 c. 1.7; ATF 139 IV 199 c.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S’agissant, comme en l’espèce, d’un recours portant uniquement sur les conséquences économiques accessoires d'une décision, la valeur litigieuse, qui excède en l’occurrence 5'000 fr., place le recours dans la compétence de la Chambre des recours pénale statuant comme autorité collégiale (cf. art. 395 let. b CPP, a contrario, et art. 13 al. 2 LVCPP [loi d’introduction du Code de procédure pénale suisse; RSV 312.01]). En l'espèce, interjeté dans le délai légal auprès de l’autorité compétente par le conseil juridique gratuit et satisfaisant aux conditions de forme posées par l’art. 385 al. 1 CPP, le recours est recevable.</w:t>
      </w:r>
    </w:p>
    <w:p>
      <w:r>
        <w:rPr>
          <w:b/>
        </w:rPr>
        <w:t>E. 2.1</w:t>
      </w:r>
    </w:p>
    <w:p>
      <w:r>
        <w:t>Le conseil juridique gratuit est indemnisé conformément au tarif des avocats de la Confédération ou du canton du for du procès (art. 135 al. 1 CPP, applicable par renvoi de l’art. 138 al. 1 CPP). Il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représentant qualifié y a consacré et de la qualité de son travail, du nombre de conférences, d’audiences et d’instances auxquelles il a pris part, du résultat obtenu et, enfin, de la responsabilité qu’il a assumée (cf. p. ex. TF 6B_745/2009 du 12 novembre 2009 c. 10.1). Dans le canton de Vaud, l'indemnité horaire de l’avocat d’office breveté est usuellement fixée à 180 fr., TVA en sus, et celle de l’avocat-stagiaire à 110 fr. (cf. art. 2 al. 1 RAJ [Règlement du 7 décembre 2010 sur l’assistance judiciaire en matière civile; RSV 211.02.3]; ATF 137 III 185). L’autorité chargée de fixer la rémunération du conseil juridique gratuit (ou du défenseur d’office) peut se prononcer sur le caractère excessif du temps que celui-ci allègue avoir consacré à sa mission et ne rétribuer que l’activité qui s’inscrit raisonnablement dans le cadre de l’accomplissement du mandat,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Les débours comprennent notamment les photocopies, les frais de poste et ceux de télécommunication (Wehrenberg/Bernhard, in : Niggli/Heer/ Wiprächtiger [éd.], Basler Kommentar, Schweizerische Strafprozessordnung, Jugendstrafprozessordnung, Art. 196-457 StPO – Art. 1-54 JStPO, 2e éd., Bâle 2014, n. 17 ad art. 429 CPP; Mizel/Réformaz, in : Kuhn/Jeanneret [éd.], Commentaire romand, Code de procédure pénale suisse, Bâle 2011, n. 36 ad art. 429 CPP; CREP 24 janvier 2013/102 c. 3a; CAPE 14 mars 2012/88 c. 2.2). Selon la jurisprudence de la Cour de céans, les photocopies sont indemnisées à raison de 20 ct. par copie (CREP 7 juin 2013/353 c. 2c). Quant aux frais de poste, il a été retenu un montant de 1 fr. par lettre simple et de 5 fr. pour les envois recommandés, les enveloppes étant pour leur part comprises dans les frais généraux (Juge unique CREP 26 décembre 2012/844 c. 3c).</w:t>
      </w:r>
    </w:p>
    <w:p>
      <w:r>
        <w:rPr>
          <w:b/>
        </w:rPr>
        <w:t>E. 2.2.1</w:t>
      </w:r>
    </w:p>
    <w:p>
      <w:r>
        <w:t>En l'espèce, la durée d’activité retenue (pour la recourante personnellement, ainsi que pour son stagiaire) ne ressort pas, même implicitement, de la motivation du jugement du Tribunal de police. Elle ne peut être déduite de la somme allouée (8'640 fr.), si ce n’est, tout au plus, par ordre de grandeur (le montant octroyé correspondant à environ 40 heures de travail à 180 fr.). Ce mode d’estimation trouve cependant ses limites, sachant que le stagiaire de l’étude a travaillé dans une proportion importante, comme on le verra plus en détail ci-dessous. Le jugement se limite à s’écarter de la liste d’opérations qui était soumise au tribunal, motif pris d’entretiens et de courriers tenus pour superflus, dans une proportion qui n’est pas même spécifiée. Pour sa part, la liste d’opérations de la recourante retient une durée d’activité de 70,1 heures de travail pour l’avocate et une durée d’activité de 59,8 heures pour le stagiaire; pour leur part, les débours requis se montent à 1'076 fr. 50 et 326 fr. 90, pour l’avocate et le stagiaire respectivement, hors TVA (soit 1'515 fr. 67 de débours totaux, TVA comprise). Le dossier permet de statuer en l’état.</w:t>
      </w:r>
    </w:p>
    <w:p>
      <w:r>
        <w:rPr>
          <w:b/>
        </w:rPr>
        <w:t>E. 2.2.2</w:t>
      </w:r>
    </w:p>
    <w:p>
      <w:r>
        <w:t>Le montant de 22'627 fr. 50 réclamé par la recourante correspond au total que comporte la liste d'opérations produite à l'audience du 13 mars 2015 devant le Tribunal de police, hors audience de jugement. La plaignante et demanderesse a comparu assistée de la recourante et du stagiaire de l’étude (jugement, p. 3), lequel a toutefois seul plaidé (jugement, p. 19). La recourante soutient en substance n'avoir procédé qu'aux opérations justifiées par son mandat, aussi bien quant à leur principe que quant au temps consacré. La plainte portait sur de nombreux actes de violence domestique perpétrés du 8 janvier 2009 au 18 juillet 2011 et impliquant aussi, indirectement du moins, les deux enfants mineurs des partenaires, ainsi que des dommages matériels. Les poursuites pénales ont été ouvertes d’office.</w:t>
      </w:r>
    </w:p>
    <w:p>
      <w:r>
        <w:rPr>
          <w:b/>
        </w:rPr>
        <w:t>E. 2.3</w:t>
      </w:r>
    </w:p>
    <w:p>
      <w:r>
        <w:t>Il y a lieu de procéder à un examen détaillé de la liste des opérations produite. Celle-ci comporte quelque 60 opérations expressément relatives à des entretiens téléphoniques avec la mandante, souvent d’une durée de quinze ou vingt minutes, voire bien davantage encore (ainsi plus de trois quarts d’heure avec le stagiaire le 3 décembre 2012). Elle mentionne en outre plus de 20 conférences avec celle-ci et de multiples lettres à son intention. On ne discerne pas la justification objective d’un tel nombre d’entretiens, étant ajouté que certaines conférences ont été d’une durée considérable (ainsi une heure vingt les 31 juillet 2012 et 13 septembre 2013; plus d’une heure et demie les 18 mars 2013,</w:t>
      </w:r>
    </w:p>
    <w:p>
      <w:r>
        <w:rPr>
          <w:b/>
        </w:rPr>
        <w:t>E. 3</w:t>
      </w:r>
    </w:p>
    <w:p>
      <w:r>
        <w:t>En définitive, le recours, mal fondé, doit être rejeté. Les frais de la procédure de recours, constitués de l'émolument d'arrêt (art. 422 al. 1 CPP), par 770 fr. (art. 20 al. 1 TFIP [Tarif des frais judiciaires pénaux du 28 septembre 2010; RSV 312.03.1]), seront mis à la charge de la recourante, qui succombe (art. 428 al. 1 CPP). Par ces motifs, la Chambre des recours pénale prononce : I. Le recours est rejeté. II. La décision fixant à 8'640 fr. (huit mille six cent quarante francs), dont à déduire 3'566 fr. 80 (trois mille cinq cent soixante-six francs et huitante centimes) déjà payés, l’indemnité due à Me G.________ en sa qualité de conseil juridique gratuit de [...] est confirmée. III. Les frais de la procédure de recours, par 770 fr. (sept cent septante francs), sont mis à la charge de G.________. IV. Le présent arrêt est exécutoire. Le président :               Le greffier : Du Le présent arrêt, dont la rédaction a été approuvée à huis clos, est notifié, par l'envoi d'une copie complète, à : - Mme G.________, avocate, - Ministère public central, et communiqué à : ‑ Mme la Présidente du Tribunal de police de l'arrondissement de l’Est vaudois, - M. le Procureur de l'arrondissement de l’Est vaudois, par l’envoi de photocopies. En vertu de l’art. 135 al. 3 let. b CPP, le présent arrêt peut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