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409 vom 27. Mai 2015</w:t>
      </w:r>
    </w:p>
    <w:p>
      <w:r>
        <w:t>VD Tribunal cantonal, 2015-05-27, FR</w:t>
      </w:r>
    </w:p>
    <w:p>
      <w:r>
        <w:rPr>
          <w:b/>
        </w:rPr>
        <w:t xml:space="preserve">Quelle: </w:t>
      </w:r>
      <w:r>
        <w:t>https://mcp.opencaselaw.ch/entscheid/vd_findinfo_D_cision___2015___409</w:t>
      </w:r>
    </w:p>
    <w:p>
      <w:r>
        <w:t>FR: VD_FINDINFO Décision / 2015 / 409 du 27 mai 2015</w:t>
      </w:r>
    </w:p>
    <w:p>
      <w:r>
        <w:t>IT: VD_FINDINFO Décision / 2015 / 409 del 27 maggio 2015</w:t>
      </w:r>
    </w:p>
    <w:p>
      <w:pPr>
        <w:pStyle w:val="Heading2"/>
      </w:pPr>
      <w:r>
        <w:t>Regeste</w:t>
      </w:r>
    </w:p>
    <w:p>
      <w:r>
        <w:t>RISQUE DE FUITE, RISQUE DE RÉCIDIVE | 221 al. 1 let. a CPP (CH), 221 al. 1 let. c CPP (CH), 221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ne doit pas durer plus longtemps que la peine privative de liberté prévisible (art. 212 al.</w:t>
      </w:r>
    </w:p>
    <w:p>
      <w:r>
        <w:rPr>
          <w:b/>
        </w:rPr>
        <w:t>E. 2.2</w:t>
      </w:r>
    </w:p>
    <w:p>
      <w:r>
        <w:t>La mise en détention provisoire n’est possible que s’il existe, préalablement à toute autre cause, de graves soupçons de culpabilité d’avoir commis un crime ou un délit à l’égard de l’auteur présumé (ATF 139 IV 186 c. 2; Schmocker, in : Kuhn/ Jeanneret [éd.], Commentaire romand, Code de procédure pénale suisse, Bâle 2011, nn. 7 ss ad art. 221 CPP, pp. 1024 ss). L'intensité des charges propres à motiver un maintien en détention provisoire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Jugendstrafprozess-ordnung, Art. 196-457 StPO – Art. 1-54 JStPO, 2 e éd., Bâle 2014, n. 3 ad art. 221 CPP).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w:t>
      </w:r>
    </w:p>
    <w:p>
      <w:r>
        <w:rPr>
          <w:b/>
        </w:rPr>
        <w:t>E. 2.3</w:t>
      </w:r>
    </w:p>
    <w:p>
      <w:r>
        <w:t>En l’espèce, le recourant invoque d’abord une violation de son droit d’être entendu, motif pris que le premier juge s’est référé à sa décision précédente pour retenir que des soupçons sérieux pesaient sur le prévenu, d’abord, ainsi que des risques de fuite et de réitération, ensuite, ce en faisant fi des mesures de substitution proposées. L 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Le droit d’être entendu est un droit de nature formelle, dont la violation doit entraîner en principe l'annulation de la décision attaquée (ATF 122 IV 8; ATF 121 I 230). Toutefois, la jurisprudence du Tribunal fédéral admet qu'une telle irrégularité puisse être réparée lorsque l'intéressé peut s'exprimer librement devant une autorité de recours disposant du même pouvoir d'examen que l'autorité de première instance, et qui peut ainsi contrôler librement la décision attaquée (ATF 133 I 201 c. 2.2; ATF 129 I 129 c. 2.2.3; TF 1B_36/2010 du 19 août 2010). La Chambre des recours pénale dispose d'un tel pouvoir d'examen, permettant de guérir le vice (art. 391 al. 1 CPP; CREP 14 mars 2011/46). Dans le cas particulier, le Tribunal des mesures de contrainte ne s’est pas limité à se référer aux considérants de ses précédentes ordonnances de mise en détention provisoire, respectivement de prolongation de la détention provisoire. Bien plutôt, s’il a retenu, d’abord, que des soupçons sérieux pesaient sur le recourant et, ensuite, que l’intéressé présentait des risques de fuite et de réitération, c’est en ajoutant expressément que ses décisions précédentes gardaient toute leur pertinence et qu’aucun élément nouveau ne venait les contredire ou les modifier quant aux risques retenus. Cette motivation est parfaitement suffisante. En effet, elle permet au recourant, déjà assisté lors des phases antérieures de la procédure, de comprendre les raisons de sa détention. Pour le surplus, le renvoi à une précédente motivation est admissible en matière de détention provisoire et ne constitue pas une violation du droit d'être entendu, en l'absence de circonstance justifiant une nouvelle appréciation de la situation (TF 1B_149/2010 du 1 er juin 2010 et les réf. cit.; CREP 23 septembre 2014/691 c. 2.b; CREP 5 août 2014/532 c. 2.2; CREP 31 juillet 2014/527 c. 2.b; CREP 12 juin 2014/402 c. 2), s’agissant même des moyens de la demande de l’autorité inférieure (ATF 114 Ia 281 c. 4c p. 285). Aucune circonstance de nature à justifier une nouvelle appréciation de la situation n’est donnée in casu. On relèvera néanmoins, quant aux soupçons retenus, que le prévenu a été soumis à un test à la cocaïne le jour de son interpellation; comme l’expose le Parquet dans sa saisine du 2 août 2013, ses mains ont réagi positivement à cette substance alors même qu’il a déclaré ne plus en avoir consommé depuis deux semaines. Surtout, les enregistrements de diverses conversations enregistrées depuis des raccordements téléphoniques qu’il utilisait font apparaître, en l’état, qu’il entretenait des liens étroits avec plusieurs compatriotes se livrant au trafic de stupéfiants à l’échelle internationale. La condition préalable des graves soupçons de culpabilité est donc remplie, et cela pour tous les actes incriminés dans la présente enquête.</w:t>
      </w:r>
    </w:p>
    <w:p>
      <w:r>
        <w:rPr>
          <w:b/>
        </w:rPr>
        <w:t>E. 2.4</w:t>
      </w:r>
    </w:p>
    <w:p>
      <w:r>
        <w:t>Pour le reste, le recourant conteste présenter le risque de fuite retenu par le premier juge. Il suffit de relever que le prévenu, ressortissant albanais ayant sa résidence principale dans son pays, est dépourvu de toute attache avec la Suisse. Le risque de fuite vers l’Albanie est donc patent au vu de la peine encourue par le prévenu. Le recourant nie en outre présenter un risque de réitération. Bien que les conditions légales de la détention provisoire soient alternatives, et non cumulatives (TF 1B_249/2011 du 7 juin 2011 c. 2.4; Forster, in : Niggli/Heer/ Wiprächtiger [éd.], op. cit., n. 4 ad art. 221 CPP, p. 1460), il peut néanmoins être relevé que le prévenu a été condamné en Italie et en Allemagne, à quatre et cinq reprises respectivement, singulièrement pour des faits similaires à ceux faisant l’objet de la présente enquête. Or ces condamnations ne semblent pas avoir mené à son amendement. Le pronostic à poser est dès lors défavorable. Il s’agit donc d’un délinquant qui présente à l’évidence un risque de réitération concret.</w:t>
      </w:r>
    </w:p>
    <w:p>
      <w:r>
        <w:rPr>
          <w:b/>
        </w:rPr>
        <w:t>E. 2.5</w:t>
      </w:r>
    </w:p>
    <w:p>
      <w:r>
        <w:t>Le recourant conteste la proportionnalité (art. 212 al. 3 CPP) entre la détention provisoire déjà subie, respectivement à subir jusqu’au 12 août 2015, et la quotité de la peine privative de liberté susceptible d’être prononcée. Le prévenu est détenu depuis le 11 mai 2013, ce qui représentera 27 mois à la date du 12 août 2015. Au vu de ses antécédents et des actes qui lui sont reprochés, il s'expose, compte tenu, le cas échéant, des circonstances aggravantes de l’affiliation à une bande et du métier, voire de la récidive, à une peine privative de liberté d’une durée manifestement supérieure à celle de la détention avant jugement subie à ce jour, respectivement à subir. Le principe de la proportionnalité demeure donc respecté (ATF 133 I 168 c. 4.1 et les arrêts cités; ATF 132 I 21 c. 4.1; TF 1B_411/2011 du 31 août 2011 c. 4.1). Il y aurait lieu toutefois de faire en sorte que l’enquête dirigée contre le recourant soit clôturée à bref délai et que l’autorité de jugement soit saisie dans les semaines qui viennent.</w:t>
      </w:r>
    </w:p>
    <w:p>
      <w:r>
        <w:rPr>
          <w:b/>
        </w:rPr>
        <w:t>E. 2.6</w:t>
      </w:r>
    </w:p>
    <w:p>
      <w:r>
        <w:t>Enfin, on ne voit dès lors pas en quoi le dépôt de sûretés à hauteur de 15'000 fr. selon l’art. 237 al. 2 let. a CPP suffirait à pallier le risque de fuite d’un délinquant étranger aguerri, dépourvu de toute attache en Suisse et qui ne peut que se savoir exposé à une lourde peine privative de liberté. La fourniture en question constituerait en effet une mesure de substitution largement insuffisante au regard de la peine prévisible, même si elle devait être assortie d’une assignation à résidence (art. 237 al. 2 let. c in initio CPP), y compris avec l’obligation de se présenter régulièrement à un service administratif (art. 237 al. 2 let. d CPP), et du dépôt du passeport du prévenu (art. 237 al. 2 let. b CPP).</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mai 2015 est confirmée. III. L’indemnité allouée au défenseur d'office d’G.________ est fixée à 583 fr. 20 (cinq cent huitante-trois francs et vingt centimes). IV. Les frais du présent arrêt, par 880 fr. (huit cent huitante francs), ainsi que l’indemnité due au défenseur d’office d’G.________, par 583 fr. 20 (cinq cent huitante-trois francs et vingt centimes), sont mis à la charge de ce dernier. V. Le remboursement à l'Etat de l'indemnité allouée au chiffre III ci-dessus ne sera exigible que pour autant que la situation économique d’G.________ se soit améliorée. VI. Le présent arrêt est exécutoire. Le président :              Le greffier : Du L'arrêt qui précède, dont la rédaction a été approuvée à huis clos, est notifié, par l'envoi d'une copie complète, à : - M. Olivier Couchepin, avocat (pour G.________),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