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406 vom 8. Mai 2015</w:t>
      </w:r>
    </w:p>
    <w:p>
      <w:r>
        <w:t>VD Tribunal cantonal, 2015-05-08, FR</w:t>
      </w:r>
    </w:p>
    <w:p>
      <w:r>
        <w:rPr>
          <w:b/>
        </w:rPr>
        <w:t xml:space="preserve">Quelle: </w:t>
      </w:r>
      <w:r>
        <w:t>https://mcp.opencaselaw.ch/entscheid/vd_findinfo_D_cision___2015___406</w:t>
      </w:r>
    </w:p>
    <w:p>
      <w:r>
        <w:t>FR: VD_FINDINFO Décision / 2015 / 406 du 8 mai 2015</w:t>
      </w:r>
    </w:p>
    <w:p>
      <w:r>
        <w:t>IT: VD_FINDINFO Décision / 2015 / 406 del 8 maggio 2015</w:t>
      </w:r>
    </w:p>
    <w:p>
      <w:pPr>
        <w:pStyle w:val="Heading2"/>
      </w:pPr>
      <w:r>
        <w:t>Regeste</w:t>
      </w:r>
    </w:p>
    <w:p>
      <w:r>
        <w:t>CLASSEMENT DE LA PROCÉDURE, CONDUITE DU PROCÈS, ENQUÊTE PÉNALE | 319 CPP (CH)</w:t>
      </w:r>
    </w:p>
    <w:p>
      <w:pPr>
        <w:pStyle w:val="Heading2"/>
      </w:pPr>
      <w:r>
        <w:t>Erwägungen</w:t>
      </w:r>
    </w:p>
    <w:p>
      <w:r>
        <w:rPr>
          <w:b/>
        </w:rPr>
        <w:t>E. 1</w:t>
      </w:r>
    </w:p>
    <w:p>
      <w:r>
        <w:t>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la qualité pour recourir (cf. art. 382 al. 1 CPP), le recours est recevable.</w:t>
      </w:r>
    </w:p>
    <w:p>
      <w:r>
        <w:rPr>
          <w:b/>
        </w:rPr>
        <w:t>E. 2.1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Le principe « in dubio pro duriore » exige donc simplement qu'en cas de doute, la procédure se poursuive. Pratiquement, une mise en accusation s'impose lorsqu'une condamnation apparaît plus vraisemblable qu'un acquittement (ATF 137 IV 219 c. 7; ATF 138 IV 86 c. 4.1.1; ATF 138 IV 186 c. 4.1; TF 1B_272/2011 du 22 mars 2012 c. 3.1.1).</w:t>
      </w:r>
    </w:p>
    <w:p>
      <w:r>
        <w:rPr>
          <w:b/>
        </w:rPr>
        <w:t>E. 2.2</w:t>
      </w:r>
    </w:p>
    <w:p>
      <w:r>
        <w:t>En l’espèce, il convient de tout d’abord rappeler que le Procureur pouvait parfaitement rejeter les réquisitions de preuves formulées dans le délai de prochaine clôture sans violer le droit d’être entendue de la recourante. Pour le reste, force est de constater, avec le Procureur, que rien ne permet, en l’état, de remettre en cause la véracité des faits retranscrits dans le rapport de police du 5 juin 2014 (P. 10). Cette version est bien au contraire accréditée par les constatations qui ont été faites par le CHUV lors de l’admission de la recourante. En effet, il ressort du rapport du 30 mai 2014 qu’à son arrivée au CHUV la patiente était agitée, très agressive envers les agents et les soignants, opposante et menaçante (P. 12). Elle présentait une agitation psychomotrice importante, une logorrhée, de la désinhibition ainsi que des idées délirantes de persécution. Il a été nécessaire de la contentionner et de lui administrer un traitement injectable devant son refus de soins et son agressivité. Un épisode maniaque ainsi qu’une intoxication alcoolique aiguë ont été diagnostiqués. Son transfert à l’Hôpital psychiatrique de Céry a par ailleurs été ordonné. Tout porte ainsi à admettre que l’usage de la contrainte par la police était légitime et rien n’indique à ce stade qu’il ait été disproportionné. La recourante soutient toutefois que les faits se seraient déroulés dans le champ d’une caméra de surveillance de la Ville de Lausanne. Le Procureur a refusé de procéder à des vérifications à ce sujet au motif que les images auraient « sans doute » été détruites, la durée de leur conservation étant de 96 heures selon l’art. 8 du Règlement communal sur la vidéosurveillance de la ville de Lausanne. Or il n’est pas exclu, comme le relève la recourante, que ces images aient été conservées plus longtemps. Dans ces circonstances, le Ministère public devra déterminer si une caméra de vidéosurveillance se trouvait bien sur le lieu de l’intervention policière et, le cas échéant, si les enregistrements de la soirée du 28 mai 2014 sont toujours disponibles, avant de rendre une nouvelle décision.</w:t>
      </w:r>
    </w:p>
    <w:p>
      <w:r>
        <w:rPr>
          <w:b/>
        </w:rPr>
        <w:t>E. 3</w:t>
      </w:r>
    </w:p>
    <w:p>
      <w:r>
        <w:t>En définitive, le recours doit être admis, l'ordonnance de classement annulée et le dossier de la cause renvoyé au Ministère public pour qu'il procède dans le sens des considérants. Les frais de la procédure de recours, constitués du seul émolument d'arrêt, par 550 fr. (art. 20 al. 1 TFIP [Tarif des frais de procédure et indemnités en matière pénale du 28 septembre 2010, RSV 312.03.1]), seront laissés à la charge de l’Etat (art. 428 al. 4 CPP). S’agissant des dépens réclamés par la recourante, il appartiendra le cas échéant à cette dernière d’adresser à la fin de la procédure – pour autant que les conditions d’une indemnité selon l’art. 433 al. 1 CPP soient alors remplies – ses prétentions à l’autorité pénale compétente selon l’art. 433 al. 2 CPP (CREP 16 avril 2013/279 c. 4 et les références citées). Par ces motifs, la Chambre des recours pénale prononce : I. Le recours est admis. II. L’ordonnance du 26 mars 2015 est annulée. III. Le dossier de la cause est renvoyé au Ministère public de l'arrondissement de Lausanne pour qu’il procède dans le sens des considérants. IV. Les frais d'arrêt, par 550 fr. (cinq cent cinquante francs), sont laissés à la charge de l’Etat. V. Le présent arrêt est exécutoire. Le président :               La greffière : Du Le présent arrêt, dont la rédaction a été approuvée à huis clos, est notifié, par l'envoi d'une copie complète, à : - M. Sébastien Thüler, avocat (pour J.________),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