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404 vom 11. Mai 2015</w:t>
      </w:r>
    </w:p>
    <w:p>
      <w:r>
        <w:t>VD Tribunal cantonal, 2015-05-11, FR</w:t>
      </w:r>
    </w:p>
    <w:p>
      <w:r>
        <w:rPr>
          <w:b/>
        </w:rPr>
        <w:t xml:space="preserve">Quelle: </w:t>
      </w:r>
      <w:r>
        <w:t>https://mcp.opencaselaw.ch/entscheid/vd_findinfo_D_cision___2015___404</w:t>
      </w:r>
    </w:p>
    <w:p>
      <w:r>
        <w:t>FR: VD_FINDINFO Décision / 2015 / 404 du 11 mai 2015</w:t>
      </w:r>
    </w:p>
    <w:p>
      <w:r>
        <w:t>IT: VD_FINDINFO Décision / 2015 / 404 del 11 maggio 2015</w:t>
      </w:r>
    </w:p>
    <w:p>
      <w:pPr>
        <w:pStyle w:val="Heading2"/>
      </w:pPr>
      <w:r>
        <w:t>Regeste</w:t>
      </w:r>
    </w:p>
    <w:p>
      <w:r>
        <w:t>CLASSEMENT DE LA PROCÉDURE, INTÉRÊT JURIDIQUEMENT PROTÉGÉ, NORME DE COMPORTEMENT, ACTE ILLICITE, FRAIS{EN GÉNÉRAL}, INDEMNITÉ{EN GÉNÉRAL} | 382 al. 1 CPP (CH), 426 al. 2 CPP (CH), 429 CPP (CH), 430 CPP (CH)</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RSV 173.01]). Le recours doit être adressé par écrit, dans un délai de dix jours dès la notification de la décision attaquée (art. 322 al. 2 CPP et art. 396 al. 1 CPP). En l'espèce, le recours a été interjeté dans le délai légal contre une décision du Ministère public ; il satisfait en outre aux autres conditions légales (art. 385 al. 1 CPP), de sorte qu’il est recevable en la forme.</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CREP 16 septembre 2013/578 c. 2a et les références citées).</w:t>
      </w:r>
    </w:p>
    <w:p>
      <w:r>
        <w:rPr>
          <w:b/>
        </w:rPr>
        <w:t>E. 2.2</w:t>
      </w:r>
    </w:p>
    <w:p>
      <w:r>
        <w:t>En l'espèce, le Procureur a tout d’abord reproché au recourant d’avoir signé une convention avec un représentant de la société A.________SA, alors même que celle-ci n’avait pas encore d’existence légale puisqu’elle n’a été inscrite au registre du commerce qu’au mois de février 2009. Or cette situation est fréquente et est expressément réglementée à l’art. 645 CO. On ne voit dès lors pas en quoi le recourant aurait, en agissant de la sorte, violé une norme de comportement. Le Procureur reproche en outre au recourant d’avoir accepté la cédule hypothécaire au porteur sans que les exigences supplémentaires prévues par l’avenant signé le 23 décembre 2008 soient réalisées. Cet avenant prévoyait à son art. 4 nouveau qu’ « une cession à titre de propriétaire fiduciaire de la cédule sera également remise à R.________SA de façon à démontrer que l’acquéreur peut valablement disposer de ladite cédule ». Ce faisant, le recourant a sans doute pris le risque de ne pas pouvoir bénéficier de la protection prévue à l’art. 862 CC. Le droit civil n’impose toutefois aucune obligation de vérification à celui qui se fait remettre une cédule hypothécaire au porteur. On ne saurait donc voir dans cette façon de procéder une quelconque violation d’une norme de comportement. Dans ces circonstances et faute de violation d’une norme de comportement, on ne saurait considérer que le recourant a, de manière illicite et fautive, provoqué l'ouverture de la procédure ou rendu plus difficile la conduite de celle-ci au sens de l’art. 426 al. 2 CPP. Les conditions d’une mise à sa charge des frais de procédure nonobstant le classement ne sont ainsi pas réunies. Les frais de procédure, par 750 fr., doivent par conséquent être laissés à la charge de l’Etat. Le chiffre III de l’ordonnance du 24 mars 2015 sera réformé en ce sens.</w:t>
      </w:r>
    </w:p>
    <w:p>
      <w:r>
        <w:rPr>
          <w:b/>
        </w:rPr>
        <w:t>E. 3.1</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la participation obligatoire à la procédure pénale (let. b) et à une réparation du tort moral subi en raison d'une atteinte particulièrement grave à sa personnalité, notamment en cas de privation de liberté (let. c).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 2.4.2, JT 2012 IV 255; TF 6B_77/2013 du 4 mars 2013 c. 2.4). L’art. 430 al. 1 CPP posant les mêmes conditions que l’art. 426 al. 2 CPP, il est adéquat de se référer dans les deux cas à la jurisprudence rendue en matière de condamnation aux frais du prévenu acquitté (ATF 137 IV 352 c. 2.4.2, JT 2012 IV 255 ; TF 6B_77/2013 du 4 mars 2013 c. 2.3; Mizel/Rétornaz, in : Kuhn/Jeanneret [éd.], op. cit., nn. 2 et 3 ad art. 430 CPP; Chapuis, in : Kuhn/Jeanneret [éd.], op. cit., n. 2 ad art. 426 CPP).</w:t>
      </w:r>
    </w:p>
    <w:p>
      <w:r>
        <w:rPr>
          <w:b/>
        </w:rPr>
        <w:t>E. 3.2</w:t>
      </w:r>
    </w:p>
    <w:p>
      <w:r>
        <w:t>En l’espèce, les frais de la procédure étant mis à la charge du l’Etat, le recourant peut prétendre à une indemnité au sens de l’art. 429 al. 1 CPP.</w:t>
      </w:r>
    </w:p>
    <w:p>
      <w:r>
        <w:rPr>
          <w:b/>
        </w:rPr>
        <w:t>E. 3.3</w:t>
      </w:r>
    </w:p>
    <w:p>
      <w:r>
        <w:t>Il convient dès lors de déterminer quel doit être le montant de l'indemnité qui sera allouée au recourant, lequel a produit diverses prétentions chiffrées le 24 avril 2013 (P. 90).</w:t>
      </w:r>
    </w:p>
    <w:p>
      <w:r>
        <w:rPr>
          <w:b/>
        </w:rPr>
        <w:t>E. 3.3.1</w:t>
      </w:r>
    </w:p>
    <w:p>
      <w:r>
        <w:t>Le recourant sollicite d’abord une indemnité de 1'818 fr. pour ses frais d’avocat. L'indemnité selon l'art. 429 al. 1 let. a CPP concerne les dépenses du prévenu pour un avocat de choix (ATF 139 IV 241 c. 1; ATF 138 IV 205 c. 1).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1313 ch. 2.10.3.1; TF 6B_392/2013 du 4 novembre 2013 c. 2.1). En l’espèce, le recourant était prévenu de tentative d'escroquerie, d’appropriation illégitime et de recel. Compte tenu de la complexité de l’affaire, l'intervention d'un conseil professionnel était dès lors justifiée. Il ressort de la liste de frais de Me Jean-Yves Bonvin que celui-ci a consacré 6 heures et 6 minutes à la défense des intérêts de R.________ à un tarif horaire de 260 francs. A cela s’ajoutent 37 fr. 50 de débours et 60 fr. de déplacements. Cette liste ne prête pas le flanc à la critique. Le montant de 1’818 fr. que le recourant réclame pour les dépenses occasionnées par l’exercice raisonnable de ses droits de procédure est ainsi justifié et il lui sera par conséquent alloué, à la charge de l’Etat. Le chiffre II de l’ordonnance du 24 mars 2015 sera réformé en ce sens.</w:t>
      </w:r>
    </w:p>
    <w:p>
      <w:r>
        <w:rPr>
          <w:b/>
        </w:rPr>
        <w:t>E. 3.3.2</w:t>
      </w:r>
    </w:p>
    <w:p>
      <w:r>
        <w:t>Le recourant demande ensuite une somme de 102 fr. 70 pour ses frais de déplacement. Le dommage économique au sens de l'art. 429 al. 1 let. b CPP concerne tous les préjudices économiques, c'est-à-dire toute diminution involontaire du patrimoine d'une personne (Wehrenberger/Bernhard, in: Niggli/Heer/ Wiprächtiger [éd.], Basler Kommentar, Schweizerische Strafprozessordnung, Jugendstrafprozessordnung, Bâle 2014, nn. 23 s. ad art. 429 CPP et les réf. cit.; Mizel/Rétornaz, op. cit., nn. 41 ss ad art. 429 CPP et les réf. cit.). Selon l’art. 430 al. 1 let. c CPP, l’autorité pénale peut réduire ou refuser l’indemnité de l’art. 429 al. 1 CPP notamment si les dépenses du prévenu sont insignifiantes. La Cour de céans considère, de manière générale, et sous réserve de situation financière particulière, qu’en présence d’un montant de l’ordre de 100 fr., il s’agit de dépenses insignifiantes au sens de l’art. 430 al. 1 let. c CPP. En l’espèce, il n’y a donc pas lieu d’indemniser le recourant pour ses frais de déplacement.</w:t>
      </w:r>
    </w:p>
    <w:p>
      <w:r>
        <w:rPr>
          <w:b/>
        </w:rPr>
        <w:t>E. 3.3.3</w:t>
      </w:r>
    </w:p>
    <w:p>
      <w:r>
        <w:t>Le recourant réclame enfin une somme de 1'000 fr. à titre d'indemnité pour tort moral. En prévoyant que le prévenu libéré a droit à une indemnité en réparation du tort moral subi en raison d’une atteinte particulièrement grave à la personnalité, l’art. 429 al. 1 let. c CPP renvoie à l’art. 49 CO (Wehrenberger/ Bernhard, op. cit., n. 27 ad art. 429 CPP; Griesser, in: Donatsch/Hansjakob/Lieber [éd.], Kommentar zur Schweizerischen Strafprozessordnung, 2 e éd., Zurich/Bâle 2014, n. 7 ad art. 429 CPP). Il appartient à la personne qui s’en prévaut d’établir, ou du moins de rendre hautement vraisemblable, qu’elle a subi une atteinte particulièrement grave à sa personnalité (Griesser, op. cit., n. 7 ad art. 429 CPP; Schmid, Praxiskommentar, Schweizerische Strafprozessordnung, 2 e éd., Zurich/St-Gall 2013, n. 10 ad art. 429 CPP; Juge unique CREP 26 décembre 2012/289; CREP 29 avril 2013/287 c. 3c). Une telle atteinte doit être présumée lorsque la personne a été détenue à tort (Griesser, op. et loc. cit., n. 7 ad art. 429 CPP;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Pitteloud, op. cit., n. 1355 ad art. 429 ss CPP). En l’espèce, le recourant n'a pas été détenu et il n'établit pas avoir souffert d'atteinte particulièrement grave à sa personnalité. On peut en conclure qu'il n'a subi à cet égard que les désagréments inhérents à toute procédure pénale. Il n'y a donc pas lieu de lui allouer un montant à titre de réparation du tort moral. IV. Conclusions Le recours formé par X.________ doit être déclaré irrecevable (cf. c. II/2.2 supra) et celui formé par R.________ doit être partiellement admis dans le sens exposé plus haut (cf. c. III/2.2 et III/3.3 supra). Les frais de la procédure de recours, constitués en l’espèce de l’émolument d’arrêt (art. 422 al. 1 CPP), par 1'210 fr. (art. 20 al. 1 TFJP [Tarif des frais judiciaires pénaux; RSV 312.03.1]), seront mis par moitié à la charge de X.________, qui succombe, le solde étant laissé à la charge de l’Etat (art. 423 et 428 al. 1 CPP). Enfin, R.________, qui a partiellement obtenu gain de cause et qui a procédé avec l'assistance d'un conseil professionnel, a droit à une juste indemnité pour les dépenses occasionnées par la procédure de recours (art. 436 al. 2 CPP). Au vu du mémoire produit, cette indemnité peut être fixée à 780 fr. (3 heures au tarif horaire de 260 fr.), plus la TVA par 62 fr. 40, soit un total de 842 fr. 40. Par ces motifs, la Chambre des recours pénale prononce : I. Le recours de X.________ est irrecevable. II. Le recours de R.________ est partiellement admis. III. L’ordonnance de classement du 24 mars 2015 est réformée comme il suit aux chiffres II et III de son dispositif : «               II. alloue à R.________ une indemnité de 1'818 fr. pour les dépenses occasionnées par l’exercice raisonnable de ses droits de procédure, à la charge de l’Etat. III. laisse les frais de procédure, arrêtés à 6'275 fr., à la charge de l’Etat, par 750 fr., le solde suivant le sort de la cause dirigée contre X.________ ». IV. Un montant de 842 fr. 40 (huit cent quarante-deux francs et quarante centimes) est alloué à R.________ à titre d'indemnité au sens de l'art. 436 al. 2 CPP, pour la procédure de recours, à la charge de l'Etat. V. Les frais d'arrêt, par 1'210 fr. (mille deux cent dix francs), sont mis par moitié, soit par 605 fr. (six cent cinq francs), à la charge de X.________, le solde étant laissé à la charge de l'Etat. VI. Le présent arrêt est exécutoire. Le président :               La greffière : Du Le présent arrêt, dont la rédaction a été approuvée à huis clos, est notifié, par l'envoi d'une copie complète, à : - M. Christian Dénériaz, avocat (pour X.________), - M. Jean-Yves Bonvin, avocat (pour R.________), - M. Jean Orso, avocat (pour A.K.________ et B.K.________), - M. T.________,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