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403 vom 20. Mai 2015</w:t>
      </w:r>
    </w:p>
    <w:p>
      <w:r>
        <w:t>VD Tribunal cantonal, 2015-05-20, FR</w:t>
      </w:r>
    </w:p>
    <w:p>
      <w:r>
        <w:rPr>
          <w:b/>
        </w:rPr>
        <w:t xml:space="preserve">Quelle: </w:t>
      </w:r>
      <w:r>
        <w:t>https://mcp.opencaselaw.ch/entscheid/vd_findinfo_D_cision___2015___403</w:t>
      </w:r>
    </w:p>
    <w:p>
      <w:r>
        <w:t>FR: VD_FINDINFO Décision / 2015 / 403 du 20 mai 2015</w:t>
      </w:r>
    </w:p>
    <w:p>
      <w:r>
        <w:t>IT: VD_FINDINFO Décision / 2015 / 403 del 20 maggio 2015</w:t>
      </w:r>
    </w:p>
    <w:p>
      <w:pPr>
        <w:pStyle w:val="Heading2"/>
      </w:pPr>
      <w:r>
        <w:t>Regeste</w:t>
      </w:r>
    </w:p>
    <w:p>
      <w:r>
        <w:t>DISJONCTION DE CAUSES | 29 CPP (CH), 30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RS 312.0]) est susceptible d’un recours immédiat au sens des art. 393 ss CPP (Stephenson/Thiriet, in : Niggli/Heer/Wiprächtiger [éd.], Basler Kommentar, Schweizerische Strafprozessordnung, Jugendstrafprozessordnung, 2 e éd., Bâle 2014, n. 10 ad art. 393 CPP; CREP 24 novembre 2014/843). Elle peut être attaquée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Consacrant le principe dit de l’unité de la procédure, l’art. 29 al. 1 CPP prévoit que les infractions sont poursuivies et jugées conjointement dans les cas suivants : (a) un prévenu a commis plusieurs infractions ou (b) il y a plusieurs coauteurs ou participation. Aux termes de l'art. 30 CPP, si des raisons objectives le justifient, le ministère public et les tribunaux peuvent ordonner la jonction ou la disjonction de procédures pénales. La disjonction doit constituer l'exception et l'unité de la procédure la règle, dans un but d'économie de la procédure, mais aussi dans celui de prévenir des décisions contradictoires (cf. ATF 138 IV 214 c. 3.2; cf. ég. Moreillon/Parein-Reymond, Petit Commentaire du Code de procédure pénale, Bâle 2013, n. 2 ad art. 30 CPP). La disjonction doit dès lors être fondée sur des motifs concrets et objectifs (ATF 138 IV 214 c. 3.2). Elle doit avant tout servir à garantir la rapidité de la procédure, respectivement à éviter un retard inutile (ATF 138 IV 214 c. 3.2 et les références citées). La doctrine cite les exemples de la prescription imminente de certaines des infractions poursuivies ou de la situation où certains prévenus sont hors d'atteinte (ibidem). En revanche, de simples motifs de commodité ne sauraient justifier une disjonction (Bertossa, in : Kuhn/Jeanneret [éd.], Commentaire romand, Code de procédure pénale suisse, Bâle 2011,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 4b).</w:t>
      </w:r>
    </w:p>
    <w:p>
      <w:r>
        <w:rPr>
          <w:b/>
        </w:rPr>
        <w:t>E. 2.2</w:t>
      </w:r>
    </w:p>
    <w:p>
      <w:r>
        <w:t>En l’espèce, à l'appui de l'ordonnance de disjonction attaquée, le Ministère public a considéré que le cas de la prévenue D.C.________ était distinct « de celui des autres » et que la disjonction permettrait de « simplifier la procédure, cela sans nuire aux autres concernés ». Dans ses déterminations, il a expliqué qu’il serait préférable de séparer les rôles de chaque partie dans le procès pénal de façon à ce que l’épouse revête distinctement le rôle de plaignante et victime dans le cadre de la procédure engagée contre son époux. Or le fait que la disjonction ordonnée permette de « simplifier la procédure » n’est pas un motif suffisant au regard de l’art. 30 CPP et de la jurisprudence précitée (c. 2.1 supra ). Le principe de l’unité de la procédure, plus spécifiquement l’art. 29 al. 1 let. b CPP, impose une instruction et un jugement uniques en ce qui concerne les mauvais traitements qui auraient été infligés aux enfants T.________ et K.________ et pour lesquels le recourant et son épouse sont tous deux mis en cause, ce d’autant plus que les faits sont contestés et que les époux semblent rejeter la faute l’un sur l’autre (ATF 116 Ia 305 c. 4b précité). Le fait que le Procureur général n’ait pas approuvé l’ordonnance de classement du 2 mai 2014 s’agissant à tout le moins des violences sexuelles subies par D.C.________ (P. 59) et que, partant, la plainte de cette dernière soit sur ce point toujours d’actualité ne change rien à ce qui précède. Si la solution choisie par le Procureur a l’avantage d’éviter que D.C.________ intervienne dans le procès contre B.C.________ en sa double qualité de partie plaignante et prévenue, elle a, en revanche, pour conséquence que deux procès, portant pour l’essentiel sur les mêmes faits, soit les mauvais traitements sur les enfants, auront lieu, ce qui pourrait conduire à des jugements contradictoires. C’est donc à tort que le Procureur de l’arrondissement de Lausanne a disjoint le cas de la prévenue D.C.________.</w:t>
      </w:r>
    </w:p>
    <w:p>
      <w:r>
        <w:rPr>
          <w:b/>
        </w:rPr>
        <w:t>E. 3</w:t>
      </w:r>
    </w:p>
    <w:p>
      <w:r>
        <w:t>En définitive, le recours doit être admis et l'ordonnance du 13 avril 2015 annulée. Les frais de la procédure de recours, constitués en l’espèce de l’émolument d'arrêt (art. 422 al. 1 CPP), par 770 fr. (art. 20 al. 1 TFIP [Tarif des frais de procédure et indemnités en matière pénale du 28 septembre 2010; RSV 312.03.1]), ainsi que des indemnités dues au défenseur d’office de B.C.________ et à celui de D.C.________ (art. 422 al. 1 et 2 let. a CPP), seront mis à la charge de cette dernière, qui a conclu au rejet du recours et qui succombe (art. 428 al. 1 CPP). Au vu de la cause et de la procédure de recours, il convient d’allouer au défenseur d’office de B.C.________ une indemnité de 620 fr., plus la TVA par 49 fr. 60, soit au total 669 fr. 60, et au défenseur d’office de D.C.________ une indemnité de 90 fr., plus la TVA par</w:t>
      </w:r>
    </w:p>
    <w:p>
      <w:r>
        <w:rPr>
          <w:b/>
        </w:rPr>
        <w:t>E. 7</w:t>
      </w:r>
    </w:p>
    <w:p>
      <w:r>
        <w:t>fr. 20, soit 97 fr. 20 au total. D.C.________ sera tenue de rembourser à l’Etat les indemnités allouées à son défenseur d’office et à celui de B.C.________ dès que sa situation financière le permettra (art. 135 al. 4 CPP). Par ces motifs, la Chambre des recours pénale prononce : I. Le recours est admis. II. L’ordonnance du 13 avril 2015 est annulée. III. L’indemnité allouée au défenseur d’office de B.C.________ est fixée à 669 fr. 60 (six cent soixante-neuf francs et soixante centimes). IV. L’indemnité allouée au défenseur d’office de D.C.________ est fixée à 97 fr. 20 (nonante-sept francs et vingt centimes). V. Les frais d'arrêt, par 770 fr. (sept cent septante francs), ainsi que les indemnités dues aux défenseurs d’office de B.C.________ et de D.C.________ selon les chiffres III et IV ci-dessus sont mis à la charge de D.C.________. VI. D.C.________ est tenue de rembourser à l'Etat les indemnités allouées aux chiffres III et IV ci-dessus dès que sa situation financière le permettra. VII. Le présent arrêt est exécutoire. Le président :               Le greffier : Du Le présent arrêt, dont la rédaction a été approuvée à huis clos, est notifié, par l'envoi d'une copie complète, à : - M. Bertrand Demierre, avocat (pour B.C.________), - Mme Claire Charton, avocate (pour D.C.________), - Ministère public central, et communiqué à : ‑ M. le Procureur de l’arrondissement de Lausanne, - M. Romain Roten, avocat (pour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