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401 vom 18. Mai 2015</w:t>
      </w:r>
    </w:p>
    <w:p>
      <w:r>
        <w:t>VD Tribunal cantonal, 2015-05-18, FR</w:t>
      </w:r>
    </w:p>
    <w:p>
      <w:r>
        <w:rPr>
          <w:b/>
        </w:rPr>
        <w:t xml:space="preserve">Quelle: </w:t>
      </w:r>
      <w:r>
        <w:t>https://mcp.opencaselaw.ch/entscheid/vd_findinfo_D_cision___2015___401</w:t>
      </w:r>
    </w:p>
    <w:p>
      <w:r>
        <w:t>FR: VD_FINDINFO Décision / 2015 / 401 du 18 mai 2015</w:t>
      </w:r>
    </w:p>
    <w:p>
      <w:r>
        <w:t>IT: VD_FINDINFO Décision / 2015 / 401 del 18 maggio 2015</w:t>
      </w:r>
    </w:p>
    <w:p>
      <w:pPr>
        <w:pStyle w:val="Heading2"/>
      </w:pPr>
      <w:r>
        <w:t>Regeste</w:t>
      </w:r>
    </w:p>
    <w:p>
      <w:r>
        <w:t>FRAIS DE LA PROCÉDURE, INDEMNITÉ{EN GÉNÉRAL}, PLAIGNANT | 393 al. 1 let. a CPP (CH), 427 al. 2 CPP (CH), 432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RSV 173.01]. Interjeté dans le délai légal auprès de l’autorité compétente par B.N.________, qui a la qualité pour recourir (art. 382 al. 1 CPP), et satisfaisant aux conditions de forme posées par la loi (art. 385 al. 1 CPP), le recours est recevable.</w:t>
      </w:r>
    </w:p>
    <w:p>
      <w:r>
        <w:rPr>
          <w:b/>
        </w:rPr>
        <w:t>E. 1.2</w:t>
      </w:r>
    </w:p>
    <w:p>
      <w:r>
        <w:t>Le recours de B.N.________ ne portant pas sur le classement de la procédure, mais uniquement sur la mise à sa charge, d’une part, de la moitié de l’indemnité allouée à P.N.________ pour les dépenses occasionnées par l’exercice raisonnable de ses droits de procédure, par 1'605 fr. 15, et, d’autre part, de la moitié des frais de procédure, par 375 fr., lesquels constituent une conséquence économique accessoire d'une décision (cf. Stephenson/Thiriet, in : Niggli/Heer/ Wiprächtiger [éd.], Basler Kommentar, Schweizerische Strafprozessordnung, Jugendstrafprozessordnung, 2 e éd., Bâle 2014, n.  5 ad art. 395 CPP ; Juge unique CREP 23 octobre 2013/643), l’art. 395 al. 1 let. b CPP entre en considération. Vu la valeur litigieuse en cause, inférieure au montant de 5'000 fr., le recours relève de la compétence du Juge unique de la Chambre des recours pénale (cf. art. 395 al. 1 let. b CPP et art. 13 al. 2 LVCPP ; cf. entre autres CREP 7 janvier 2014/7).</w:t>
      </w:r>
    </w:p>
    <w:p>
      <w:r>
        <w:rPr>
          <w:b/>
        </w:rPr>
        <w:t>E. 2.1</w:t>
      </w:r>
    </w:p>
    <w:p>
      <w:r>
        <w:t>Le sort des frais de procédure à l'issue de celle-ci est régi par les art. 422 ss CPP. En principe, ces frais sont mis à la charge de la Confédération ou du canton qui a conduit la procédure, les dispositions contraires du CPP étant réservées (art. 423 al. 1 CPP).</w:t>
      </w:r>
    </w:p>
    <w:p>
      <w:r>
        <w:rPr>
          <w:b/>
        </w:rPr>
        <w:t>E. 2.1.1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 4.2.1, JT 2013 IV 191 ; TF 6B_438/2013 du 18 juillet 2013 c. 2.1). Contrairement à la version française, les versions allemande et italienne opèrent en effet une distinction entre la partie plaignante ( Privatklägerschaft ; accusatore privato ) et le plaignant ( antragstellende Person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 4.2.2, JT 2013 IV 191 ; TF 6B_438/2013 du 18 juillet 2013 c.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 4.2.3, JT 2013 IV 191 ; TF 6B_438/2013 du 18 juillet 2013 c. 2.1).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 4.4.1, JT 2013 IV 191 ; TF 6B_438/2013 du 18 juillet 2013 c. 2.1).</w:t>
      </w:r>
    </w:p>
    <w:p>
      <w:r>
        <w:rPr>
          <w:b/>
        </w:rPr>
        <w:t>E. 2.1.2</w:t>
      </w:r>
    </w:p>
    <w:p>
      <w:r>
        <w:t>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(ATF 138 IV 248 c. 5.3). La jurisprudence résumée ci-dessus est donc applicable par analogie (TF 6B_438/2013 du 18 juillet 2013 c. 3.1).</w:t>
      </w:r>
    </w:p>
    <w:p>
      <w:r>
        <w:rPr>
          <w:b/>
        </w:rPr>
        <w:t>E. 2.2.1</w:t>
      </w:r>
    </w:p>
    <w:p>
      <w:r>
        <w:t>En l’espèce, l’enquête qui a abouti au classement de la procédure pénale en faveur du prévenu était ouverte pour une infraction se poursuivant sur plainte (accès indu à un système informatique). Dès lors, compte tenu de la jurisprudence qui vient d’être exposée, les frais pouvaient être mis à la charge de la recourante, laquelle succombe, sans autre condition, en application de l’art. 427 al. 2 CPP, l’intéressée s’étant en effet constituée partie plaignante et ayant activement pris part à la procédure. A cet égard, on relèvera notamment que lors du dépôt de sa plainte contre P.N.________, B.N.________ avait demandé la saisie probatoire du matériel informatique privé détenu par l’intimé, aux fins d’analyse. Par la suite, B.N.________ a requis la levée des scellés et s’est déterminée à ce propos. Elle a également demandé que plusieurs mesures d’investigation soient entreprises. Enfin, elle a déposé des déterminations ensuite de l’avis de prochaine clôture de la procédure adressé le 1 er juillet 2014 par le Procureur. Dans cette mesure, la question relative à la témérité ou à la négligence grave n’est ainsi pas décisive. Sur ce point, on peut souligner au demeurant qu’à l’appui de sa plaine contre son époux, B.N.________ a principalement soutenu que celui-ci avait accédé indûment à des comptes informatiques protégés par des mots de passe personnels, obtenant ainsi un relevé Miles &amp; More , de même qu’un échange de courriels entre elle et un tiers, documents qu’il avait produit ensuite, le 17 octobre 2013, dans le cadre de la procédure en divorce les opposant. Or, il s’est avéré que B.N.________ ne pouvait ignorer que les documents litigieux étaient en possession de son époux de longue date, puisque l’experte-psychologue en avait eu connaissance et en avait fait état dans une expertise psycho-judiciaire déposée à fin avril 2011. Son argumentation, qui consiste à soutenir qu’il aurait déposé plainte en toute bonne foi et dans le but de s’assurer notamment que d’autres comptes n’avaient pas fait l’objet d’une introduction illicite, est ainsi totalement vaine : dans les circonstances de l’espèce, en déclenchant une procédure pénale, elle a fait de toute manière preuve de négligence, voire de témérité. Un plaideur raisonnable n’aurait en l’occurrence pas provoqué l’ouverture d’une procédure pénale. Il se justifie dès lors de mettre les frais de procédure à la charge de la partie plaignante.</w:t>
      </w:r>
    </w:p>
    <w:p>
      <w:r>
        <w:rPr>
          <w:b/>
        </w:rPr>
        <w:t>E. 2.2.2</w:t>
      </w:r>
    </w:p>
    <w:p>
      <w:r>
        <w:t>S’agissant de la mise à sa charge de la moitié de l'indemnité allouée au prévenu libéré (art. 429 al. 1 let. a CPP), la recourante ne formule pas de critiques différentes de celles qu'elle soulève à l'appui de son grief relatif à l'application de l'art. 427 al. 2 CPP. Par conséquent, il peut être renvoyé à la motivation exposée ci-avant (cf. c. 2.2.1 supra), dès lors que les principes applicables à l’art. 432 al. 2 CPP sont les mêmes (cf. c. 2.1.2 supra).</w:t>
      </w:r>
    </w:p>
    <w:p>
      <w:r>
        <w:rPr>
          <w:b/>
        </w:rPr>
        <w:t>E. 2.3</w:t>
      </w:r>
    </w:p>
    <w:p>
      <w:r>
        <w:t>En définitive, c’est à juste titre, au regard des art. 427 al. 2 et 432 al. 2 CPP, que le Procureur de l’arrondissement de La Côte a mis, à la charge de B.N.________, tant une partie des frais de la procédure qu’une partie de l’indemnité allouée à P.N.________.</w:t>
      </w:r>
    </w:p>
    <w:p>
      <w:r>
        <w:rPr>
          <w:b/>
        </w:rPr>
        <w:t>E. 3</w:t>
      </w:r>
    </w:p>
    <w:p>
      <w:r>
        <w:t>Il résulte de ce qui précède que le recours doit être rejeté, sans autres échanges d’écritures (art. 390 al. 2 CPP), et l’ordonnance de classement du 9 avril 2015 confirmée. Les frais de la procédure de recours, constitués du seul émolument d’arrêt, par 630 fr. (art. 20 al. 1 TFIP [tarif des frais de procédure et indemnités en matière pénale du 28 septembre 2010 ; RSV 312.03.1]), seront mis à la charge de la recourante, qui succombe (art. 428 al. 1 CPP). Par ces motifs, le juge unique prononce : I. Le recours est rejeté. II. L’ordonnance du 9 avril 2015 est confirmée. III. Les frais d’arrêt, par 630 fr. (six cent trente francs), sont mis à la charge de la recourante. IV. Le présent arrêt est exécutoire. Le juge unique :               La greffière : Du Le présent arrêt, dont la rédaction a été approuvée à huis clos, est notifié, par l'envoi d'une copie complète, à : - M. Marc Cheseaux, avocat (pour B.N.________), - Mme Christine Marti, avocate (pour P.N.________),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