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 vom 30. Dezember 2014</w:t>
      </w:r>
    </w:p>
    <w:p>
      <w:r>
        <w:t>VD Tribunal cantonal, 2014-12-30, FR</w:t>
      </w:r>
    </w:p>
    <w:p>
      <w:r>
        <w:rPr>
          <w:b/>
        </w:rPr>
        <w:t xml:space="preserve">Quelle: </w:t>
      </w:r>
      <w:r>
        <w:t>https://mcp.opencaselaw.ch/entscheid/vd_findinfo_D_cision___2015___4</w:t>
      </w:r>
    </w:p>
    <w:p>
      <w:r>
        <w:t>FR: VD_FINDINFO Décision / 2015 / 4 du 30 décembre 2014</w:t>
      </w:r>
    </w:p>
    <w:p>
      <w:r>
        <w:t>IT: VD_FINDINFO Décision / 2015 / 4 del 30 dicembre 2014</w:t>
      </w:r>
    </w:p>
    <w:p>
      <w:pPr>
        <w:pStyle w:val="Heading2"/>
      </w:pPr>
      <w:r>
        <w:t>Regeste</w:t>
      </w:r>
    </w:p>
    <w:p>
      <w:r>
        <w:t>LIBÉRATION CONDITIONNELLE, REJET DE LA DEMANDE, PRONOSTIC, RISQUE DE RÉCIDIVE | 86 CP, 26 LEP</w:t>
      </w:r>
    </w:p>
    <w:p>
      <w:pPr>
        <w:pStyle w:val="Heading2"/>
      </w:pPr>
      <w:r>
        <w:t>Erwägungen</w:t>
      </w:r>
    </w:p>
    <w:p>
      <w:r>
        <w:rPr>
          <w:b/>
        </w:rPr>
        <w:t>E. 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Transmis à l’autorité compétente par le magistrat saisi, le recours a été interjeté en temps utile (art. 91 al. 4 et 396 CPP). Il satisfait aux conditions de forme posées par l’art. 385 al. 1 CPP, de sorte qu’il y a lieu d’entrer en matière.</w:t>
      </w:r>
    </w:p>
    <w:p>
      <w:r>
        <w:rPr>
          <w:b/>
        </w:rPr>
        <w:t>E. 2.1</w:t>
      </w:r>
    </w:p>
    <w:p>
      <w:r>
        <w:t>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w:t>
      </w:r>
    </w:p>
    <w:p>
      <w:r>
        <w:rPr>
          <w:b/>
        </w:rPr>
        <w:t>E. 2.2</w:t>
      </w:r>
    </w:p>
    <w:p>
      <w:r>
        <w:t>En l’espèce, la condition objective de l’exécution des deux tiers de la peine prévue par l'art. 86 al. 1 CP sera réalisée le 28 janvier 2015. En outre, le comportement du condamné en détention, bien qu’il ne soit pas exempt de tout reproche, ne s’oppose pas à un élargissement anticipé. La seconde condition de l’art. 86 al. 1 CP est ainsi également réalisée. Cela étant, la question déterminante est celle de savoir s’il y a lieu de craindre que le condamné ne commette de nouveaux crimes ou de nouveaux délits. Le recourant est un multirécidiviste, notamment en matière d’infractions à la législation sur les étrangers. A cela s’ajoute qu’il a déclaré devant la Juge d’application des peines, lors de son audition du 28 novembre 2014, qu’il s’opposait à un renvoi vers l’Algérie. Ainsi, s’il devait être libéré conditionnellement, le condamné, qui ne dispose d’aucun statut en Suisse, ne pourrait vivre dans notre pays que dans l’illégalité. En d’autres termes, il ne pourrait que perpétrer une nouvelle infraction à la Loi fédérale sur les étrangers. Il envisage de retourner à Paris ou en Espagne, alors même qu’il ne dispose d’aucun titre lui permettant d’y séjourner légalement. En outre, il s’oppose à un retour dans son pays d’origine, le seul dans lequel il est pourtant légitimé à résider en l’état. On ne saurait donc subordonner la libération conditionnelle à l’expulsion du condamné dans un état tiers. A cela s’ajoute que les projets avancés par le recourant sont inexistants ou incompatibles avec sa situation administrative. Le recourant n’a pas non plus pris contact avec la Fondation vaudoise de probation, démontrant ainsi un total désintérêt pour sa réinsertion. Avec la Juge d’application des peines, la Cour de céans considère le risque de récidive comme très élevé, à tout le moins en matière de législation sur les étrangers.</w:t>
      </w:r>
    </w:p>
    <w:p>
      <w:r>
        <w:rPr>
          <w:b/>
        </w:rPr>
        <w:t>E. 2.3</w:t>
      </w:r>
    </w:p>
    <w:p>
      <w:r>
        <w:t>Au vu de ce qui précède, c’est à bon droit que la Juge d’application des peines a refusé d’accorder au condamné la libération conditionnelle.</w:t>
      </w:r>
    </w:p>
    <w:p>
      <w:r>
        <w:rPr>
          <w:b/>
        </w:rPr>
        <w:t>E. 3</w:t>
      </w:r>
    </w:p>
    <w:p>
      <w:r>
        <w:t>Il résulte de ce qui précède que le recours, manifestement mal fondé, doit être rejeté sans autres échanges d’écritures (art. 390 al. 2 CPP) et l’ordonnance du 28 novembre 2014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novembre 2014 est confirmée. III. Les frais d’arrêt, par 770 fr. (sept cent septante francs), sont mis à la charge de I.________. IV. Le présent arrêt est exécutoire. Le vice-président : La greffière : Du Le présent arrêt, dont la rédaction a été approuvée à huis clos, est notifié, par l'envoi d'une copie complète, à : - M. I.________, - Ministère public central et communiqué à : - Mme la Juge d’application des peines, - M. le Procureur cantonal Strada, - Office d’exécution des peines (réf. : […]), - Prison de la Tuilière, - Service de la population, secteurs départs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