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388 vom 6. Mai 2015</w:t>
      </w:r>
    </w:p>
    <w:p>
      <w:r>
        <w:t>VD Tribunal cantonal, 2015-05-06, FR</w:t>
      </w:r>
    </w:p>
    <w:p>
      <w:r>
        <w:rPr>
          <w:b/>
        </w:rPr>
        <w:t xml:space="preserve">Quelle: </w:t>
      </w:r>
      <w:r>
        <w:t>https://mcp.opencaselaw.ch/entscheid/vd_findinfo_D_cision___2015___388</w:t>
      </w:r>
    </w:p>
    <w:p>
      <w:r>
        <w:t>FR: VD_FINDINFO Décision / 2015 / 388 du 6 mai 2015</w:t>
      </w:r>
    </w:p>
    <w:p>
      <w:r>
        <w:t>IT: VD_FINDINFO Décision / 2015 / 388 del 6 maggio 2015</w:t>
      </w:r>
    </w:p>
    <w:p>
      <w:pPr>
        <w:pStyle w:val="Heading2"/>
      </w:pPr>
      <w:r>
        <w:t>Regeste</w:t>
      </w:r>
    </w:p>
    <w:p>
      <w:r>
        <w:t>RÉCUSATION | 56 CPP (CH), 56 let. f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la requérante à l’encontre de la Procureure (art. 13 de la loi d’introduction du code de procédure pénale suisse [LVCPP];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6B_629/2011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précité c. 2.1 et les références citées; TF 1B_129/2014 du 16 mai 2014 c. 2.1). Dans son arrêt du 8 juin 2012 déjà cité (ATF 138 IV 142 c. 2.2), le Tribunal fédéral a considéré qu’on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116 Ia 14 c. 5a p. 19). D'autre part, la jurisprudence considère que le magistrat appelé à statuer à nouveau après l'annulation d'une de ses décisions est en général à même de tenir compte de l'avis exprimé par l'instance supérieure et de s'adapter aux injonctions qui lui sont faites (ATF 113 Ia 407 c. 2b p. 410).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(cf. aussi ATF 116 Ia 135 c. 3a; ATF 114 Ia 153 c. 3b/bb; ATF 111 Ia 259 c. 3b/aa et les références citées; TF 1B_105/2013 précité c. 2.1; TF 1B_365/2009 du 22 mars 2010 c. 3.3).</w:t>
      </w:r>
    </w:p>
    <w:p>
      <w:r>
        <w:rPr>
          <w:b/>
        </w:rPr>
        <w:t>E. 2.2</w:t>
      </w:r>
    </w:p>
    <w:p>
      <w:r>
        <w:t>En l'espèce, la magistrate a indiqué, à titre préliminaire, que les faits mis en cause par la requérante ne concernaient pas la présente procédure, mais des enquêtes pénales distinctes. Pour ce qui était des motifs invoqués, elle a relevé avoir entendu précédemment la requérante qu’à l’occasion d’une seule audience, et non de plusieurs. Elle a formellement nié avoir souri au moment où la partie avait relevé avoir présenté un arrêt vasculaire cérébral, à plus forte raison avoir « pouffé de rire » à cette occasion. Elle a ajouté que la requérante comparaissait assistée de son conseil d’alors, Me Fabien Mingard; or, si les faits s’étaient déroulés comme le soutient la partie, ce dernier serait alors, toujours selon la procureure, assurément intervenu pour préserver les droits de sa mandante. Pour le reste, l’annulation par la Cour de céans de deux décisions rendues à l’égard de la requérante ne fonderait aucune apparence de prévention.</w:t>
      </w:r>
    </w:p>
    <w:p>
      <w:r>
        <w:rPr>
          <w:b/>
        </w:rPr>
        <w:t>E. 2.3</w:t>
      </w:r>
    </w:p>
    <w:p>
      <w:r>
        <w:t>Le fait que l’épisode mis en cause à l’appui de la demande de récusation ne concerne pas la présente affaire, à savoir la procédure ouverte par suite de la plainte du 6 février 2015, n’est pas déterminant sous l’angle d’une éventuelle apparence de prévention au détriment de la requérante. Il n’en relativise toutefois pas moins la situation, s’agissant d’une procédure déjà ancienne. Pour ce qui est des griefs de la requérante, il est incontesté que l’audition en cause avait eu lieu en présence de son conseil de l’époque. Tenu de préserver les intérêts de sa cliente, ce représentant qualifié aurait assurément réagi en présence d’un comportement déplacé de la procureure, le cas échéant même en requérant qu’il en soit fait mention au procès-verbal afin d’étayer une éventuelle demande de récusation. A défaut de tout élément de cet ordre, rien ne permet de retenir en fait que le comportement mis en cause, matériellement contesté par la procureure, ait bien eu lieu. Aucune apparence de prévention ne saurait donc être retenue en relation avec l’épisode invoqué. S’agissant du moyen déduit des arrêts d’annulation rendus par la cour de céans, il suffit de rappeler que le fait que l’instance supérieure donne tort à un magistrat ne justifie pas par principe la récusation de ce dernier, sauf à bloquer le fonctionnement de la justice (ATF 138 IV 142 c. 2.2 précité). Dans le cas particulier, il n’existe aucune circonstance dont il serait possible de déduire la moindre apparence de prévention, s’agissant de surcroît de procédures distinctes de l’enquête ici en cause.</w:t>
      </w:r>
    </w:p>
    <w:p>
      <w:r>
        <w:rPr>
          <w:b/>
        </w:rPr>
        <w:t>E. 3</w:t>
      </w:r>
    </w:p>
    <w:p>
      <w:r>
        <w:t>En définitive, mal fondée, la demande de récusation présentée le 10 avril 2015 par L.________ doit être rejetée. Les frais de procédure, constitués en l’espèce du seul émolument de décision, par 660 fr. (art. 20 al. 1 TFIP [Tarif des frais de procédure et indemnités en matière pénale du 28 septembre 2010; RSV 312.03.1]), seront mis à la charge de la requérante, dont la demande est rejetée (art. 59 al. 4, seconde phrase, CPP). Par ces motifs, la Chambre des recours pénale prononce : I. La demande de récusation présentée le 10 avril 2015 par L.________ à l’encontre de la Procureure [...] est rejetée. II. Les frais de la présente décision, par 660 fr. (six cent soixante francs), sont mis à la charge de L.________. III. La présente décision est exécutoire. Le président :               Le greffier : Du La décision qui précède, dont la rédaction a été approuvée à huis clos, est notifiée, par l'envoi d'une copie complète, à : - M. Stephen Gintzburger, avocat (pour L.________),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