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386 vom 22. Mai 2015</w:t>
      </w:r>
    </w:p>
    <w:p>
      <w:r>
        <w:t>VD Tribunal cantonal, 2015-05-22, FR</w:t>
      </w:r>
    </w:p>
    <w:p>
      <w:r>
        <w:rPr>
          <w:b/>
        </w:rPr>
        <w:t xml:space="preserve">Quelle: </w:t>
      </w:r>
      <w:r>
        <w:t>https://mcp.opencaselaw.ch/entscheid/vd_findinfo_D_cision___2015___386</w:t>
      </w:r>
    </w:p>
    <w:p>
      <w:r>
        <w:t>FR: VD_FINDINFO Décision / 2015 / 386 du 22 mai 2015</w:t>
      </w:r>
    </w:p>
    <w:p>
      <w:r>
        <w:t>IT: VD_FINDINFO Décision / 2015 / 386 del 22 maggio 2015</w:t>
      </w:r>
    </w:p>
    <w:p>
      <w:pPr>
        <w:pStyle w:val="Heading2"/>
      </w:pPr>
      <w:r>
        <w:t>Regeste</w:t>
      </w:r>
    </w:p>
    <w:p>
      <w:r>
        <w:t>CLASSEMENT DE LA PROCÉDURE, FRAIS DE LA PROCÉDURE, PRÉVENU | 319 CPP (CH), 395 let. b CPP (CH), 426 al. 2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par le prévenu qui a la qualité pour recourir (cf. art. 382 al. 1 CPP), le recours est recevable.</w:t>
      </w:r>
    </w:p>
    <w:p>
      <w:r>
        <w:rPr>
          <w:b/>
        </w:rPr>
        <w:t>E. 1.1</w:t>
      </w:r>
    </w:p>
    <w:p>
      <w:r>
        <w:t>Les parties peuvent attaquer une ordonnance de classement rendue par le ministère public en application des art. 319 ss CPP dans les dix jours devant l’autorité de recours (art. 322 al. 2 et 396 al. 1 CPP; cf. art. 20 al.</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ne conteste pas le classement en lui-même, mais uniquement la mise à sa charge des frais de procédure, par 225 francs. La valeur litigieuse place donc le recours dans la compétence d’un juge unique de la Chambre des recours pénale (art. 395 let. b CPP).</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CREP 16 septembre 2013/578 c. 2a et les références citées).</w:t>
      </w:r>
    </w:p>
    <w:p>
      <w:r>
        <w:rPr>
          <w:b/>
        </w:rPr>
        <w:t>E. 2.2</w:t>
      </w:r>
    </w:p>
    <w:p>
      <w:r>
        <w:t>En l’espèce, dans la motivation de son ordonnance, le Ministère public a retenu que le fait que le recourant ne paie pas les sous-traitants, comme sa société s’y était engagée, ne réalisait certes aucune infraction pénale, mais constituait toutefois un problème d’exécution des contrats relevant du domaine civil. C’est donc à tort que le procureur a mis les frais de procédure à la charge du recourant. En effet, il convient de relever que la violation d’une norme de comportement, écrite ou non écrite, ne peut consister qu’en la violation d’une norme de comportement générale et non en la violation d’obligations contractuelles ou quasi contractuelles du prévenu envers les plaignants (cf. CREP 18 août 2014/571 c. 3.2). Il convient donc de laisser les frais de la procédure préliminaire à la charge de l’Etat.</w:t>
      </w:r>
    </w:p>
    <w:p>
      <w:r>
        <w:rPr>
          <w:b/>
        </w:rPr>
        <w:t>E. 3</w:t>
      </w:r>
    </w:p>
    <w:p>
      <w:r>
        <w:t>Il résulte de ce qui précède que le recours doit être admis et le chiffre III du dispositif de l’ordonnance attaquée réformé en ce sens que les frais de l’ordonnance, par 225 fr., sont laissés à la charge de l’Etat. Les frais de la procédure de recours, constitués en l'espèce de l'émolument d'arrêt, par 450 fr. (art. 20 al. 1 TFIP [tarif des frais de procédure et indemnités en matière pénale; RSV 312.03.1]), seront laissés à la charge de l’Etat (art. 423 al. 1 CPP). Par ces motifs, le juge unique prononce : I. Le recours est admis. II. Le chiffre III du dispositif de l’ordonnance du 10 février 2015 est réformé en ce sens que les frais de l’ordonnance, par 225 fr., sont laissés à la charge de l’Etat. L’ordonnance du 10 février 2015 est maintenue pour le surplus. III. Les frais d’arrêt, par 450 (quatre cent cinquante francs), sont laissés à la charge de l’Etat. IV. Le présent arrêt est exécutoire. Le juge unique :               La greffière : Du Le présent arrêt, dont la rédaction a été approuvée à huis clos, est notifié, par l'envoi d'une copie complète, à : - M. D.________, - Ministère public central; et communiqué à : - Mme B.________, - M. T.________,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