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379 vom 7. Mai 2015</w:t>
      </w:r>
    </w:p>
    <w:p>
      <w:r>
        <w:t>VD Tribunal cantonal, 2015-05-07, FR</w:t>
      </w:r>
    </w:p>
    <w:p>
      <w:r>
        <w:rPr>
          <w:b/>
        </w:rPr>
        <w:t xml:space="preserve">Quelle: </w:t>
      </w:r>
      <w:r>
        <w:t>https://mcp.opencaselaw.ch/entscheid/vd_findinfo_D_cision___2015___379</w:t>
      </w:r>
    </w:p>
    <w:p>
      <w:r>
        <w:t>FR: VD_FINDINFO Décision / 2015 / 379 du 7 mai 2015</w:t>
      </w:r>
    </w:p>
    <w:p>
      <w:r>
        <w:t>IT: VD_FINDINFO Décision / 2015 / 379 del 7 maggio 2015</w:t>
      </w:r>
    </w:p>
    <w:p>
      <w:pPr>
        <w:pStyle w:val="Heading2"/>
      </w:pPr>
      <w:r>
        <w:t>Regeste</w:t>
      </w:r>
    </w:p>
    <w:p>
      <w:r>
        <w:t>FRAIS DE LA PROCÉDURE, ILLICÉITÉ, NORME DE COMPORTEMENT, NON-LIEU | 426 al. 2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L’ordonnance a été notifiée sous plis simples mis à la poste le 3 février 2015. Interjeté dans le délai légal auprès de l’autorité compétente par le prévenu qui a la qualité pour recourir au sens de l’art. 382 al. 1 CPP nonobstant sa libération, s’agissant en particulier du sort des frais de la procédure pénale (Juge unique CREP 5 février 2014/96 c. 1.a), le recours est recevable.</w:t>
      </w:r>
    </w:p>
    <w:p>
      <w:r>
        <w:rPr>
          <w:b/>
        </w:rPr>
        <w:t>E. 1.2</w:t>
      </w:r>
    </w:p>
    <w:p>
      <w:r>
        <w:t>Le recours ne porte pas sur le classement de la procédure, mais uniquement sur la mise à la charge du recourant des frais de justice, y compris l’indemnité au défenseur d’office, ainsi que sur le refus implicite de toute indemnité pour le dommage économique subi par le prévenu au titre de sa participation obligatoire à la procédure pénale. S’agissant de conséquences économiques accessoires de la décision (cf. Stephenson/Thiriet, in : Niggli/Heer/Wiprächtiger [éd.], Basler Kommentar, Schweizerische Strafprozessordnung, Jugendstrafprozess- ordnung, Art. 196-457 StPO – Art. 1-54 JStPO, 2 e éd., Bâle 2014, n. 5 ad art. 395 CPP; Juge unique CREP 23 octobre 2013/643), l’art. 395 al. 1 let. b CPP entre en considération. La valeur litigieuse, excédant en l’occurrence 5'000 fr., place le recours dans la compétence de la Chambre des recours pénale statuant comme autorité collégiale (cf. art. 395 let. b CPP, a contrario, et art. 13 al. 2 LVCPP [loi d’introduction du Code de procédure pénale suisse; RSV 312.01]).</w:t>
      </w:r>
    </w:p>
    <w:p>
      <w:r>
        <w:rPr>
          <w:b/>
        </w:rPr>
        <w:t>E. 2.1</w:t>
      </w:r>
    </w:p>
    <w:p>
      <w:r>
        <w:t>L’art. 423 CPP prévoit que les frais de procédure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D'après l'art. 429 al. 1 let. b CPP, si le prévenu est acquitté totalement ou en partie ou s’il bénéficie d’une ordonnance de classement, il a droit notamment à une indemnité pour le dommage économique subi au titre de sa participation obligatoire à la procédure pénale. Aux termes de l’art. 430 al. 1 CPP, l’autorité pénale peut réduire ou refuser cette indemnité notamment si le prévenu a provoqué illicitement et fautivement l’ouverture de la procédure ou a rendu plus difficile la conduite de celle-ci.</w:t>
      </w:r>
    </w:p>
    <w:p>
      <w:r>
        <w:rPr>
          <w:b/>
        </w:rPr>
        <w:t>E. 2.2</w:t>
      </w:r>
    </w:p>
    <w:p>
      <w:r>
        <w:t>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CREP 19 février 2014/207). L’art. 430 al. 1 CPP posant les mêmes conditions que l’art. 426 CPP, il est adéquat de se référer dans les deux cas à la jurisprudence rendue en matière de condamnation aux frais du prévenu acquitté (ATF 137 IV 352 précité, ibid.; TF 6B_77/2013 du 4 mars 2013 c. 2.3; Mizel/Rétornaz, in : Kuhn/Jeanneret [éd.], Commentaire romand, Code de procédure pénale suisse, Bâle 2011, nn. 2 et 3 ad art. 430 CPP; Chapuis, in : Kuhn/Jeanneret [éd.], op. cit., n. 2 ad art. 426 CPP).</w:t>
      </w:r>
    </w:p>
    <w:p>
      <w:r>
        <w:rPr>
          <w:b/>
        </w:rPr>
        <w:t>E. 2.3</w:t>
      </w:r>
    </w:p>
    <w:p>
      <w:r>
        <w:t>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ATF 116 Ia 162 c. 2c). Le fait reproché doit constituer une violation claire de la norme de comportement (ATF 119 Ia 332 c. 1b;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s’agissant de la faute, elle est une condition supplémentaire de la mise à la charge du prévenu de tout ou partie des frais.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w:t>
      </w:r>
    </w:p>
    <w:p>
      <w:r>
        <w:rPr>
          <w:b/>
        </w:rPr>
        <w:t>E. 2.4.1</w:t>
      </w:r>
    </w:p>
    <w:p>
      <w:r>
        <w:t>En l’espèce, le Procureur a retenu que les frais de la cause devaient être mis à la charge du prévenu, dès lors que son comportement, tenu pour blâmable, avait donné lieu à la procédure. En effet, l’intéressé n’avait pas donné de nouvelles à son cocontractant durant une période de six mois alors même qu’il savait pertinemment que la plaignante en attendait; à cet égard, ni ses voyages, ni le fait qu’il n’ait pas voulu renseigner le représentant de la plaignante lors de leur rencontre de mars 2014 ne sauraient expliquer son silence. Ce comportement a inutilement inquiété ses partenaires d’affaire et les a incités à déposer plainte.</w:t>
      </w:r>
    </w:p>
    <w:p>
      <w:r>
        <w:rPr>
          <w:b/>
        </w:rPr>
        <w:t>E. 2.4.2</w:t>
      </w:r>
    </w:p>
    <w:p>
      <w:r>
        <w:t>Selon la jurisprudence fédérale, l’obligation d’agir selon les règles de la bonne foi peut imposer un devoir d’information, dont les contours doivent être appréciés de cas en cas (ATF 132 III 305, spéc. c. 6.1, JT 2006 I 269). Dans un arrêt récent, la Cour de céans a considéré que le comportement d’une partie consistant à refuser de donner suite à toutes demandes de renseignements d’un office des poursuites était contraire à la bonne foi et constituait notamment une violation de l’art. 2 CC (Code civil; RS 210) (CREP 30 mars 2015/225 c. II.5.2).</w:t>
      </w:r>
    </w:p>
    <w:p>
      <w:r>
        <w:rPr>
          <w:b/>
        </w:rPr>
        <w:t>E. 2.4.3</w:t>
      </w:r>
    </w:p>
    <w:p>
      <w:r>
        <w:t>Dans le cas particulier, le recourant a omis d’adresser toute information aux organes de la plaignante depuis le rendez-vous manqué du 2 septembre 2013 à tout le moins, soit pour une durée de plus de sept mois au jour du dépôt de la plainte pénale. Le contrat passé entre parties était d’un enjeu considérable au vu de la somme versée par la plaignante. Le fait que des relations commerciales devaient être nouées outre-mer constituait en outre un facteur d’insécurité supplémentaire justifiant une information soutenue à la bailleresse de fonds. Les interrogations de la plaignante étaient d’autant plus légitimes que le prévenu, agissant à l’insu de la plaignante, a transféré sur un autre compte, dont il était l’ayant droit économique, le montant versé en couverture des affaires à conclure en Afrique. Il a ainsi fait fi de ses obligations contractuelles expressément stipulées de laisser « accès à tout moment (au) compte » en faveur de son partenaire commercial et de n’utiliser que le compte spécialement ouvert d’entente avec son cocontractant. Il a d’autant plus failli à la bonne foi en affaires qu’il a procédé de la sorte le 24 décembre 2013 sur un compte de surcroît ouvert le 9 du même mois, soit à un moment où il avait déjà été mis en demeure de rembourser la somme avancée, ce après avoir manqué le rendez-vous prévu le 2 septembre de la même année et avoir omis de donner le moindre renseignement dans l’intervalle. De surcroît, le prévenu n’a pris aucune disposition pour faire suivre son courrier durant ses séjours à l’étranger, comme le relève le rapport de police du 16 avril 2014 (P. 4/1, p. 4). La bonne foi en affaires commandait ainsi au prévenu de renseigner la plaignante, si ce n’est spontanément, à tout le moins en donnant suite aux multiples sollicitations pressantes qui lui étaient adressées. En s’y refusant alors même qu’il s’y savait tenu, il a fait fi de son élémentaire devoir de transparence et de loyauté exigé par les circonstances. Ce comportement, blâmable, est civilement illicite au regard de l’art. 2 CC. Il pouvait légitimement inciter l’intimée à déposer plainte pénale. Le prévenu a ainsi illicitement et fautivement provoqué l'ouverture de la procédure au sens de l’art. 430 al. 1 let. a CPP. Les frais de la procédure pénale doivent dès lors être mis à la charge du prévenu nonobstant sa libération.</w:t>
      </w:r>
    </w:p>
    <w:p>
      <w:r>
        <w:rPr>
          <w:b/>
        </w:rPr>
        <w:t>E. 2.4.4</w:t>
      </w:r>
    </w:p>
    <w:p>
      <w:r>
        <w:t>Pour le reste, le recourant, représenté par son défenseur d’office, se limite à demander le remboursement de ses frais propres, le cas échéant par compensation avec les frais de procédure, ainsi qu’une indemnisation à raison du temps consacré à la procédure (recours, ch. 46 s.). Ces prétentions relèvent du dommage économique subi au titre de la participation obligatoire du prévenu à la procédure pénale et sont, partant, régies par l’art. 429 al. 1 let. b CPP, déjà cité. Le parallélisme entre la mise à la charge du prévenu des frais de procédure selon l'art. 426 al. 1 et 2 CPP et la réduction ou le refus de l'indemnité selon l’art. 429 CPP exclut que le plaideur tenu, comme en l’espèce, aux frais de procédure ait droit à une quelconque indemnité fondée sur l’art. 429 CPP (ATF 137 IV 352, JT 2012 IV 255). Ce seul motif commande le rejet de cette prétention additionnelle.</w:t>
      </w:r>
    </w:p>
    <w:p>
      <w:r>
        <w:rPr>
          <w:b/>
        </w:rPr>
        <w:t>E. 3</w:t>
      </w:r>
    </w:p>
    <w:p>
      <w:r>
        <w:t>Il résulte de ce qui précède que le recours, manifestement mal fondé, doit être rejeté sans autres échanges d’écritures (art. 390 al. 2 CPP) et l’ordonnance du 27 janvier 2015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630 fr., plus la TVA, par 50 fr. 40, soit un total de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janvier 2015 est confirmée. III. L’indemnité allouée au défenseur d’office de S.________ est fixée à 680 fr. 40 (six cent huitante francs et quarante centimes). IV. Les frais d’arrêt, par 880 fr. (huit cent huitante francs), ainsi que l’indemnité due au défenseur d’office de S.________, par 680 fr. 40 (six cent huitante francs et quarante centimes), sont mis à la charge de ce dernier. V. Le remboursement à l'Etat de l'indemnité allouée au chiffre III ci-dessus ne sera exigible que pour autant que la situation économique de S.________ se soit améliorée. VI. Le présent arrêt est exécutoire. Le président :               Le greffier : Du L'arrêt qui précède, dont la rédaction a été approuvée à huis clos, est notifié, par l'envoi d'une copie complète, à : - M. Lionel Zeiter, avocat (pour S.________), - M. [...] (pour U.________),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