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378 vom 18. Mai 2015</w:t>
      </w:r>
    </w:p>
    <w:p>
      <w:r>
        <w:t>VD Tribunal cantonal, 2015-05-18, FR</w:t>
      </w:r>
    </w:p>
    <w:p>
      <w:r>
        <w:rPr>
          <w:b/>
        </w:rPr>
        <w:t xml:space="preserve">Quelle: </w:t>
      </w:r>
      <w:r>
        <w:t>https://mcp.opencaselaw.ch/entscheid/vd_findinfo_D_cision___2015___378</w:t>
      </w:r>
    </w:p>
    <w:p>
      <w:r>
        <w:t>FR: VD_FINDINFO Décision / 2015 / 378 du 18 mai 2015</w:t>
      </w:r>
    </w:p>
    <w:p>
      <w:r>
        <w:t>IT: VD_FINDINFO Décision / 2015 / 378 del 18 maggio 2015</w:t>
      </w:r>
    </w:p>
    <w:p>
      <w:pPr>
        <w:pStyle w:val="Heading2"/>
      </w:pPr>
      <w:r>
        <w:t>Regeste</w:t>
      </w:r>
    </w:p>
    <w:p>
      <w:r>
        <w:t>CLASSEMENT DE LA PROCÉDURE, LÉSION CORPORELLE, ACCIDENT PROFESSIONNEL | 125 CP, 3 OPA</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interjeté dans le délai légal auprès de l’autorité compétente par le plaignant qui a la qualité pour recourir (cf. art. 118 al. 1 et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Le constat selon lequel aucun soupçon justifiant une mise en accusation n’est établi suppose que le ministère public ait préalablement procédé à toutes les mesures d’instruction pertinentes susceptibles d’établir l’existence de soupçons suffisants justifiant une mise en accusation (CREP 30 septembre 2014/710 c. 2).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Le recourant reproche au Ministère public d’avoir apprécié les faits de manière erronée et incomplète. Il soutient que les différents témoignages recueillis permettraient de circonscrire de manière suffisamment précise le cercle des responsables de son accident.</w:t>
      </w:r>
    </w:p>
    <w:p>
      <w:r>
        <w:rPr>
          <w:b/>
        </w:rPr>
        <w:t>E. 3.1</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l'art. 125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 5.1; ATF 113 IV 68 c.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 2.3.1; SJ 2011 I p. 86; ATF 135 IV 56 c. 2.1, JT 2010 IV 43;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ATF 129 IV 119 c. 2.1; TF 6B_934/2009 du 22 décembre 2009 c. 1.1). S’il y a eu violation des règles de la prudence, encore faut-il que celle-ci puisse être imputée à faute, c’est-à-dire que l'on puisse reprocher à l'auteur, compte tenu de ses circonstances personnelles, d'avoir fait preuve d'un manque d'effort blâmable (ATF 122 IV 145 c. 3b). Enfin, l'art. 125 CP suppose que cette violation se soit trouvée en rapport de causalité naturelle et adéquate avec le résultat de l'infraction, soit des lésions corporelles. Un comportement est la cause naturelle d'un résultat s'il en constitue l'une des conditions sine qua non, c'est-à-dire si, sans lui, le résultat ne se serait pas produit (ATF 133 IV 158 c. 6.1; Corboz, Les infractions en droit suisse, vol. I, 3 e éd., Berne 2010, n. 34 ad art. 117 CP).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Selon la jurisprudence et la doctrine, l’imputation du résultat dommageable à l’auteur nécessite encore de déterminer si ce résultat aurait pu être évité. Il s’agit dès lors d’examiner si un lien de causalité hypothétique peut être établi, à savoir si le résultat serait quand même survenu au cas où l’auteur aurait respecté le devoir de prudence. Il suffit qu’il soit établi avec une haute vraisemblance, ou une vraisemblance confinant à la certitude, que si l’auteur avait agi d’une manière conforme à son devoir de prudence, le résultat ne se serait pas produit (ATF 135 IV 56 c. 2.1, JT 2010 IV 43).</w:t>
      </w:r>
    </w:p>
    <w:p>
      <w:r>
        <w:rPr>
          <w:b/>
        </w:rPr>
        <w:t>E. 3.2</w:t>
      </w:r>
    </w:p>
    <w:p>
      <w:r>
        <w:t>Selon l’art. 3 OPA (Ordonnance sur la prévention des accidents ; RS 832.30),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(al. 2). Selon les art. 15 ss OTConst (Ordonnance sur les travaux de construction ; RS 832.311.141), une protection latérale doit être installée lorsqu'il existe un risque de chute de plus de 2 mètres. En outre, l'art. 46 al. 2 OTConst prévoit que la distance entre le pont et la façade ne peut dépasser 30 cm, faute de quoi d'autres mesures pour éviter les chutes doivent être prises. Enfin, et c'est le plus important en l'espèce, l'art. 49 OTConst prévoit expressément que l'échafaudage doit être contrôlé chaque jour par chaque utilisateur.</w:t>
      </w:r>
    </w:p>
    <w:p>
      <w:r>
        <w:rPr>
          <w:b/>
        </w:rPr>
        <w:t>E. 3.3</w:t>
      </w:r>
    </w:p>
    <w:p>
      <w:r>
        <w:t>En l’espèce, il n’est pas contesté que les lésions que le recourant a subies doivent être qualifiées de graves au sens de l’art. 125 al. 2 CP. Contrairement à ce qu’a retenu la procureure, la Cour de céans constate que le cercle des responsables de l’accident dont a été victime le recourant peut être suffisamment circonscrit. En effet, il ressort de plusieurs témoignages que le jour de l’accident, seuls les employés de l’entreprise F.________ Sàrl étaient présents sur le chantier du bâtiment B13 sur lequel l’accident s’est produit (PV aud. 3, p. 3 ; PV aud.</w:t>
      </w:r>
    </w:p>
    <w:p>
      <w:r>
        <w:rPr>
          <w:b/>
        </w:rPr>
        <w:t>E. 3.4</w:t>
      </w:r>
    </w:p>
    <w:p>
      <w:r>
        <w:t>Compte tenu de l’ensemble de ces éléments, c’est à tort que la procureure a ordonné le classement de la procédure. L’ordonnance de classement doit dès lors être annulée en application du principe in dubio pro duriore et le dossier de la cause renvoyé au Ministère public de l’arrondissement de La Côte, à charge pour ce dernier de mener l’instruction en particulier sur les liens entre les entreprises S.________ AG et F.________ Sàrl. Il conviendra de réentendre K.________ et H.________ sur ce point et de les interroger notamment s’agissant des consignes qui avaient été données et comprises, notamment en raison des connaissances linguistiques de K.________ et d’une délégation de sous-traitance qui semble très large. Il devra également instruire sur le fait que les employés de S.________ AG, ou de son sous-traitant F.________ Sàrl, ont été surpris le lendemain de l'accident en train de démonter des éléments de sécurité des échafaudages (garde-corps) en dépit des règles en vigueur sur le chantier, et de déterminer qui avait donné de telles consignes.</w:t>
      </w:r>
    </w:p>
    <w:p>
      <w:r>
        <w:rPr>
          <w:b/>
        </w:rPr>
        <w:t>E. 4</w:t>
      </w:r>
    </w:p>
    <w:p>
      <w:r>
        <w:t>En définitive, le recours doit être admis et l'ordonnance de classement du 19 mars 2015 annulée, le dossier de la cause étant renvoyé au Ministère public de l'arrondissement de La Côte pour qu'il procède dans le sens des considérants. N.________ obtenant gain de cause, les frais de la procédure de recours, constitués en l'espèce de l'émolument d'arrêt, par 1’540 fr. (art. 20 al. 1 TFIP [Tarif des frais de procédure et indemnités en matière pénale du 28 septembre 2010; RSV 312.03.1]), seront laissés à la charge de l’Etat.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19 mars 2015 est annulée. III. Le dossier de la cause est renvoyé au Ministère public de l’arrondissement de La Côte pour qu’il procède dans le sens des considérants. IV. Les frais d'arrêt, par 1’540 fr. (mille cinq cent quarante francs), sont laissés à la charge de l’Etat. V. Le présent arrêt est exécutoire. Le président :               La greffière : Du Le présent arrêt, dont la rédaction a été approuvée à huis clos, est notifié, par l'envoi d'une copie complète, à : - Me Pierre Seidler, avocat (pour N.________),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