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371 vom 11. Mai 2015</w:t>
      </w:r>
    </w:p>
    <w:p>
      <w:r>
        <w:t>VD Tribunal cantonal, 2015-05-11, FR</w:t>
      </w:r>
    </w:p>
    <w:p>
      <w:r>
        <w:rPr>
          <w:b/>
        </w:rPr>
        <w:t xml:space="preserve">Quelle: </w:t>
      </w:r>
      <w:r>
        <w:t>https://mcp.opencaselaw.ch/entscheid/vd_findinfo_D_cision___2015___371</w:t>
      </w:r>
    </w:p>
    <w:p>
      <w:r>
        <w:t>FR: VD_FINDINFO Décision / 2015 / 371 du 11 mai 2015</w:t>
      </w:r>
    </w:p>
    <w:p>
      <w:r>
        <w:t>IT: VD_FINDINFO Décision / 2015 / 371 del 11 maggio 2015</w:t>
      </w:r>
    </w:p>
    <w:p>
      <w:pPr>
        <w:pStyle w:val="Heading2"/>
      </w:pPr>
      <w:r>
        <w:t>Regeste</w:t>
      </w:r>
    </w:p>
    <w:p>
      <w:r>
        <w:t>ESCROQUERIE, IN DUBIO PRO DURIORE | 146 CP, 310 CPP (CH)</w:t>
      </w:r>
    </w:p>
    <w:p>
      <w:pPr>
        <w:pStyle w:val="Heading2"/>
      </w:pPr>
      <w:r>
        <w:t>Erwägungen</w:t>
      </w:r>
    </w:p>
    <w:p>
      <w:r>
        <w:rPr>
          <w:b/>
        </w:rPr>
        <w:t>E. 1</w:t>
      </w:r>
    </w:p>
    <w:p>
      <w:r>
        <w:t>Les parties peuvent attaquer une ordonnance de non-entrée en matière rendue par le Ministère public (cf. art. 310 CPP [Code de procédure pénale suisse du 5 octobre 2007 ; RS 312.0]) dans les dix jours devant l’autorité de recours (art. 310 al. 2, 322 al. 2 CPP ; cf. art. 20 al. 1 let. b CPP), qui, dans le canton de Vaud, est la Chambre des recours pénale du Tribunal cantonal (art. 13 LVCPP [loi d’introduction du code de procédure pénale suisse; RSV 312.01] ; art. 80 LOJV [loi d’organisation judiciaire ; RSV 173.01]). Interjeté dans le délai légal (art. 322 al. 2 CPP par renvoi de l'art. 310 al. 2 et art. 396 al. 1 CPP), contre une décision du Ministère public (art. 393 al. 1 let. a CPP), par le plaignant qui a qualité pour recourir (art. 382 al. 1 CPP) et dans les formes prescrites (art. 385 al. 1 CPP), le recours est recevable.</w:t>
      </w:r>
    </w:p>
    <w:p>
      <w:r>
        <w:rPr>
          <w:b/>
        </w:rPr>
        <w:t>E. 2</w:t>
      </w:r>
    </w:p>
    <w:p>
      <w:r>
        <w:t>Conformément à l'art. 310 let. a CPP, le Procureur rend immédiatement – c'est-à-dire sans qu'une instruction soit ouverte – une ordonnance de non-entrée en matière lorsqu'il apparaît, à réception de la dénonciation (cf. art. 301 s. CPP) ou de la plainte (Cornu, in : Kuhn/Jeanneret [éd.], Commentaire romand, Code de procédure pénale suisse, Bâle 2011, nn. 1 et 2 ad art. 310 CPP) ou après une procédure préliminaire limitée aux investigations de la police (art. 300 al. 1 et 306 s. CPP), que les éléments constitutifs d'une infraction ou les conditions d'ouverture de l'action pénale ne sont manifestement pas réunis (TF 1B_709/2012 du 21 février 2013 c. 3.1 ; TF 1B_67/2012 du 29 mai 2012 c. 2.2).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Lorsqu’une instruction est formellement ouverte ou que l’autorité pénale a procédé à des actes d’instruction, il n’est plus possible de rendre une ordonnance de ce type (TF 1B_67/2012 du 29 mai 2012 ; JT 2014 III 30 c. 5). Seule une ordonnance de classement pourra alors être prononcée. L’ordonnance de non-entrée en matière doit ainsi être rendue à réception de la dénonciation, de la plainte ou du rapport de police et ceci avant qu’il ne soit procédé à de plus amples actes d’enquête et qu’une instruction soit ouverte (Moreillon/Parein-Reymond, Petit commentaire du Code de procédure pénale, Bâle 2013, nn. 4 ss ad art. 310 CPP et les références citées). En revanche, il doit pouvoir rendre une ordonnance de non-entrée en matière dans les cas où il apparaît d’emblée qu’aucun acte d’enquête ne pourra apporter la preuve d’une infraction à la charge d’une personne déterminée (cf. TF 1B_67/2012 du 29 mai 2012 c. 3.2).</w:t>
      </w:r>
    </w:p>
    <w:p>
      <w:r>
        <w:rPr>
          <w:b/>
        </w:rPr>
        <w:t>E. 3</w:t>
      </w:r>
    </w:p>
    <w:p>
      <w:r>
        <w:t>Le recourant reproche au procureur d’avoir apprécié les faits de manière incomplète et erronée. Il fait valoir que certains éléments du dossier auraient été ignorés alors qu’ils permettaient de conclure à l’existence d’indices suffisants pour que l’infraction d’escroquerie soit réalisée.</w:t>
      </w:r>
    </w:p>
    <w:p>
      <w:r>
        <w:rPr>
          <w:b/>
        </w:rPr>
        <w:t>E. 3.1</w:t>
      </w:r>
    </w:p>
    <w:p>
      <w:r>
        <w:t>Aux termes de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de tiers. Pour que l'infraction d'escroquerie soit réalisée, plusieurs conditions objectives doivent être remplies, à savoir une tromperie, une astuce, une induction en erreur, un acte de disposition, un dommage, ainsi qu'un lien de causalité entre les éléments qui précèdent. Sur le plan subjectif, l'escroquerie suppose une intention et un dessein d'enrichissement illégitime pour soi-même ou pour un tiers (Dupuis/Geller/Monnier/Moreillon/Piguet/Bettex/Stoll [éd.], Petit commentaire du Code pénal, Bâle 2012, n. 1 ad art. 146 CP). L'escroquerie suppose en particulier que l'auteur ait usé de tromperie et que celle-ci ait été astucieuse (ATF 128 IV 18 c. 3a; ATF 122 II 422 c. 3a; ATF 122 IV 246 c. 3a et les arrêts cités). L'astuce est réalisée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(ibid.). L'astuce n'est toutefois pas réalisée si la dupe pouvait se protéger avec un minimum d'attention ou éviter l'erreur avec le minimum de prudence que l'on pouvait attendre d'elle (TF 6B_314/2011 du 27 octobre 2011 c. 3.2.1). Cependant, il n’est pas nécessaire qu’elle ait fait preuve de la plus grande diligence ou qu'elle ait recouru à toutes les mesures possibles pour éviter d'être trompée. L'astuce n'est exclue que si la dupe n'a pas procédé aux vérifications élémentaires que l'on pouvait attendre d'elle au vu des circonstances (ibidem). La jurisprudence admet l'astuce dans le cas où la dupe n'a pas la possibilité de vérifier les affirmations transmises ou si leur vérification se révèle très difficile (ATF 125 IV 124 c. 3a).</w:t>
      </w:r>
    </w:p>
    <w:p>
      <w:r>
        <w:rPr>
          <w:b/>
        </w:rPr>
        <w:t>E. 3.2</w:t>
      </w:r>
    </w:p>
    <w:p>
      <w:r>
        <w:t>En l’espèce, les pièces du dossier semblent démontrer qu’en 2009 déjà, l’intimé avait été informé par l’ISEA à plusieurs reprises des doutes émis concernant l’authenticité du plâtre acheté à X.________ en 2002 (P.</w:t>
      </w:r>
    </w:p>
    <w:p>
      <w:r>
        <w:rPr>
          <w:b/>
        </w:rPr>
        <w:t>E. 5</w:t>
      </w:r>
    </w:p>
    <w:p>
      <w:r>
        <w:t>de la plainte pénale). Dans le courant de l’année 2010, l’intimé a d’ailleurs retiré l’attestation d’inscription au patrimoine suisse de l’ISEA qui était apposée sur l’œuvre. On constate en outre qu’une fois informé de manière officielle par la police du caractère faux de l’œuvre vendue au recourant, l’intimé n’a pas averti le recourant qui ne l’a appris qu’après l’ouverture de la faillite de l’intimé. En omettant de le faire, l’intimé a privé le recourant de la possibilité de se prévaloir de la clause de remboursement de l’œuvre prévue dans le contrat de vente du 2 mars 2010 (P. 1 de la plainte pénale). Enfin, le 27 mars 2013, l’intimé – pourtant dûment averti du caractère faux de l’œuvre – a encore vendu un bronze à un tiers, pour le montant de 28'000 francs (P. 6 de la plainte pénale). Il semble également avoir tenté de vendre, en août 2013, un autre exemplaire de l’œuvre pour le prix de 150'000 francs. Compte tenu des éléments qui précèdent, il n’est pas exclu qu’Z.________ ait conclu le contrat du 2 mars 2010 tout en sachant que le plâtre vendu était un faux. Cette question relève de l’établissement des faits qui n’ont pas été instruits et qui rendent envisageable la réalisation d’une escroquerie au sens de l’art. 146 CP. Par conséquent, il est nécessaire que le procureur ouvre une instruction conformément à l'art. 309 CPP. 4. En définitive, le recours doit être admis et l'ordonnance du 5 janvier 2015 annulée, le dossier de la cause étant renvoyé au Ministère public de l'arrondissement de l’Est vaudois pour qu'il procède dans le sens des considérants. Le recourant obtenant gain de cause, les frais de la procédure de recours, constitués en l'espèce de l'émolument d'arrêt, par 770 fr. (art. 20 al. 1 TFIP [Tarif des frais de procédure et indemnités en matière pénale du 28 septembre 2010; RSV 312.03.1]), seront laissés à la charge de l’Etat (art. 423 al. 1 CPP). S’agissant des dépens réclamés par le recourant, il appartiendra le cas échéant à ce dernier d’adresser à la fin de la procédure – pour autant que les conditions d’une indemnité selon l’art. 433 al. 1 CPP soient alors remplies – ses prétentions à l’autorité pénale compétente selon l’art. 433 al. 2 CPP (CREP 16 avril 2013/279 c. 4 et les références citées). Par ces motifs, la Chambre des recours pénale prononce : I. Le recours est admis. II. L’ordonnance du 5 janvier 2015 est annulée. III. Le dossier de la cause est renvoyé au Ministère public de l’arrondissement de l’Est vaudois pour qu’il procède dans le sens des considérants. IV. Les frais d'arrêt, par 770 fr. (sept cent septante francs), sont laissés à la charge de l’Etat. V. Le présent arrêt est exécutoire. Le président :               La greffière : Du Le présent arrêt, dont la rédaction a été approuvée à huis clos, est notifié, par l'envoi d'une copie complète, à : - Me Daniel Pache, avocat (pour V.________), - M. H.________,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