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 vom 23. Dezember 2014</w:t>
      </w:r>
    </w:p>
    <w:p>
      <w:r>
        <w:t>VD Tribunal cantonal, 2014-12-23, FR</w:t>
      </w:r>
    </w:p>
    <w:p>
      <w:r>
        <w:rPr>
          <w:b/>
        </w:rPr>
        <w:t xml:space="preserve">Quelle: </w:t>
      </w:r>
      <w:r>
        <w:t>https://mcp.opencaselaw.ch/entscheid/vd_findinfo_D_cision___2015___37</w:t>
      </w:r>
    </w:p>
    <w:p>
      <w:r>
        <w:t>FR: VD_FINDINFO Décision / 2015 / 37 du 23 décembre 2014</w:t>
      </w:r>
    </w:p>
    <w:p>
      <w:r>
        <w:t>IT: VD_FINDINFO Décision / 2015 / 37 del 23 dicembre 2014</w:t>
      </w:r>
    </w:p>
    <w:p>
      <w:pPr>
        <w:pStyle w:val="Heading2"/>
      </w:pPr>
      <w:r>
        <w:t>Regeste</w:t>
      </w:r>
    </w:p>
    <w:p>
      <w:r>
        <w:t>CLASSEMENT DE LA PROCÉDURE | 173 CP, 174 CP, 303 CP, 304 CP, 318 CP, 23 LCD, 310 CPP (CH), 393 al. 1 let. a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la partie plaignante qui a qualité pour recourir (art. 382 al. 1 CPP) dans la mesure où elle est lésée, le recours est recevable dans cette mesure (cf. c. 3 infra).</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non-entrèe en matière est ainsi subordonnée à la condition qu'ils soient directement touchés par l'infraction et puissent faire valoir un intérêt juridiquement protégé à l'annulation de la décision (TF 1B_489/2011 du 24 janvier 2012 c. 2.1).</w:t>
      </w:r>
    </w:p>
    <w:p>
      <w:r>
        <w:rPr>
          <w:b/>
        </w:rPr>
        <w:t>E. 3.2</w:t>
      </w:r>
    </w:p>
    <w:p>
      <w:r>
        <w:t>En l’espèce, il convient de relever que l’art. 304 CP (induction de la justice en erreur) n’a pas pour finalité de protéger les intérêts de particuliers, de sorte que le recourant ne peut prétendre à la qualité de lésé pour ce qui est de l’infraction en question, dont il n’est dès lors que le dénonciateur. Il en va de même du fait reproché à I.________ d’avoir donné dans le courriel litigieux de fausses informations médicales, respectivement d’avoir établi un faux certificat médical destiné à être produit à une autorité. En effet, dans ces circonstances, l’art. 318 CP protège la foi accordée, dans le domaine juridique, aux certificats médicaux en tant que moyen de preuve (TF 6B_152/2007 du 13 mai 2008 c. 5.2.2 et la réf. citée). Le recourant n’a ainsi pas la qualité de lésé, respectivement n’a pas la qualité pour contester l’ordonnance de non-entrée en matière à cet égard. Le recours se révèle dès lors irrecevable sur ces différents points.</w:t>
      </w:r>
    </w:p>
    <w:p>
      <w:r>
        <w:rPr>
          <w:b/>
        </w:rPr>
        <w:t>E. 4.1</w:t>
      </w:r>
    </w:p>
    <w:p>
      <w:r>
        <w:t>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Code pénal, Petit commentaire, 2012, n. 4 ad rem. prél. aux art. 173 à 178 CP, p. 1014, et la doctrine citée). Si l'allégation litigieuse ne porte atteinte qu'à la considération dont jouit le lésé dans sa profession ou ses affaires, il n'est pas visé par les art. 173 ss CP (ATF 115 IV 44 c. 1, JT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précité).</w:t>
      </w:r>
    </w:p>
    <w:p>
      <w:r>
        <w:rPr>
          <w:b/>
        </w:rPr>
        <w:t>E. 4.2</w:t>
      </w:r>
    </w:p>
    <w:p>
      <w:r>
        <w:t>En l’espèce, le fait pour I.________ d’avoir signalé à l’autorité de surveillance le cas du recourant qui lui paraissait douteux, en invoquant des soins inadéquats et des tarifs trop élevés, ne constitue pas une atteinte à l'honneur. Certes, les allégations litigieuses laissent penser que le recourant est une personne incompétente, profiteuse, voire trompeuse. Toutefois, le cadre dans lequel cette accusation est formulée vise avant tout l'activité professionnelle du recourant. En effet, les reproches précités ne portent atteinte qu'à la considération dont il jouit dans sa profession. Ils ne tombent donc pas sous le coup des art. 173 ss CP. Certes, I.________ indique dans son courriel douter de la réalité des examens et des soins donnés au chat en question, assertion qui dépasse la simple critique professionnelle. Toutefois, la prénommée ne fait qu’émettre des doutes, en se référant aux propos rapportés par ses clientes. Dans ces circonstances, l’assertion litigieuse est admissible, faute de quoi la possibilité de signalement à une autorité de surveillance serait dénuée de fondement. Au vu de ce qui précède, le recours doit être rejeté en tant qu’il porte sur la violation des art. 173 et 174 CP.</w:t>
      </w:r>
    </w:p>
    <w:p>
      <w:r>
        <w:rPr>
          <w:b/>
        </w:rPr>
        <w:t>E. 5.1</w:t>
      </w:r>
    </w:p>
    <w:p>
      <w:r>
        <w:t>L'art. 303 ch. 1 al. 1 CP prévoit que celui qui aura dénoncé à l'autorité, comme auteur d'un crime ou d'un délit, une personne qu'il savait innocente, en vue de faire ouvrir contre elle une poursuite pénale, sera punie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(TF 6B_591/2009 du 1 er février 2010 c. 3.1.1). La dénonciation doit porter sur la commission d’une infraction pénale (Dupuis et alii, op. cit., n. 7 ad art. 303 CP et les réf. cit.). Sur le plan subjectif, l'auteur doit savoir que la personne qu'il dénonce est innocente. Il s'agit d'une connaissance au sens strict. Le dol éventuel ne suffit pas (Corboz, Les infractions en droit suisse, vol. II, 3 e éd., Berne 2010, n. 17 ad art. 303 CP, p. 591 ; ATF 136 IV 170 c. 2.1, JT 2011 IV 102), de sorte que l'auteur peut objecter n'avoir pas su le dénoncé innocent en invoquant sa bonne foi (ATF 72 IV 74 c. 1).</w:t>
      </w:r>
    </w:p>
    <w:p>
      <w:r>
        <w:rPr>
          <w:b/>
        </w:rPr>
        <w:t>E. 5.2</w:t>
      </w:r>
    </w:p>
    <w:p>
      <w:r>
        <w:t>En l’espèce, comme déjà mentionné ci-dessus (cf. c. 4.2 supra), I.________ n’accuse pas le recourant d’avoir commis une escroquerie ou un vol. Elle ne fait que rapporter les propos de ses clientes qui ont eu l’impression de s’être fait escroquer ou voler. La terminologie utilisée démontre que la prénommée ignorait si le recourant était ou non coupable d’une infraction pénale, mais qu’au vu des éléments qui lui avaient été rapportés par deux de ses clientes, il se justifiait de signaler le cas auprès de l’autorité de surveillance, qui n’est d’ailleurs pas une autorité de poursuite pénale. Dans ces circonstances, les éléments constitutifs de la dénonciation calomnieuse ne sont manifestement pas réunis. Le recours doit donc également être rejeté sur ce point.</w:t>
      </w:r>
    </w:p>
    <w:p>
      <w:r>
        <w:rPr>
          <w:b/>
        </w:rPr>
        <w:t>E. 6.1</w:t>
      </w:r>
    </w:p>
    <w:p>
      <w:r>
        <w:t>Selon l’art. 23 al. 1 LCD, quiconque, intentionnellement, se rend coupable de concurrence déloyale au sens des art. 3, 4, 4a, 5 ou 6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(TF 6B_824/2007 du 17 avril 2008 c. 2.1.1 et la jurisprudence citée).</w:t>
      </w:r>
    </w:p>
    <w:p>
      <w:r>
        <w:rPr>
          <w:b/>
        </w:rPr>
        <w:t>E. 6.2</w:t>
      </w:r>
    </w:p>
    <w:p>
      <w:r>
        <w:t>En l’espèce, on ne voit pas en quoi le fait de signaler un cas à une autorité de surveillance constituerait un acte de concurrence déloyale au sens de l’art. 2 LCD, faute de quoi une telle autorité n’aurait pas lieu d’être. Le comportement de I.________ ne tombe dès lors pas sous le coup de l’art. 23 al. 1 LCD. Le recours doit donc également être rejeté sur ce point.</w:t>
      </w:r>
    </w:p>
    <w:p>
      <w:r>
        <w:rPr>
          <w:b/>
        </w:rPr>
        <w:t>E. 7</w:t>
      </w:r>
    </w:p>
    <w:p>
      <w:r>
        <w:t>Il résulte de ce qui précède que le recours doit être rejeté dans la mesure où il est recevable (cf. c. 3 supra) et l’ordonnance du 29 octobre 2014 confirmée. Les frais de la procédure de recours, constitués du seul émolument d’arrêt, par 1’100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29 octobre 2014 est confirmée. III. Les frais de la procédure de recours, par 1'100 fr. (mille cent francs), sont mis à la charge de K.________. IV. Le présent arrêt est exécutoire. Le président :               La greffière : Du Le présent arrêt, dont la rédaction a été approuvée à huis clos, est notifié, par l'envoi d'une copie complète, à : - Mme Yvonne Furler, avocate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