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369 vom 13. Mai 2015</w:t>
      </w:r>
    </w:p>
    <w:p>
      <w:r>
        <w:t>VD Tribunal cantonal, 2015-05-13, FR</w:t>
      </w:r>
    </w:p>
    <w:p>
      <w:r>
        <w:rPr>
          <w:b/>
        </w:rPr>
        <w:t xml:space="preserve">Quelle: </w:t>
      </w:r>
      <w:r>
        <w:t>https://mcp.opencaselaw.ch/entscheid/vd_findinfo_D_cision___2015___369</w:t>
      </w:r>
    </w:p>
    <w:p>
      <w:r>
        <w:t>FR: VD_FINDINFO Décision / 2015 / 369 du 13 mai 2015</w:t>
      </w:r>
    </w:p>
    <w:p>
      <w:r>
        <w:t>IT: VD_FINDINFO Décision / 2015 / 369 del 13 maggio 2015</w:t>
      </w:r>
    </w:p>
    <w:p>
      <w:pPr>
        <w:pStyle w:val="Heading2"/>
      </w:pPr>
      <w:r>
        <w:t>Regeste</w:t>
      </w:r>
    </w:p>
    <w:p>
      <w:r>
        <w:t>LIBÉRATION CONDITIONNELLE | 86 al. 1 CP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détenu qui a qualité pour recourir (art. 382 al. 1 CPP). Conforme aux exigences de motivation prévues par l’art. 385 al. 1 CPP, il est ainsi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 s'est fondée exclusivement sur les antécédents du condamné (TF 6B_900/2010 du 20 décembre 2010 c. 1; ATF 133 IV 201 c. 2.3).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 1a/aa). On peut même se demander si le comportement en détention représente encore un critère indépendant ou s'il n'est pas, selon les circonstances, un simple élément supplémentaire d'appréciation pour établir le pronostic (ATF 119 IV 5 c. 1a/aa et les références citées; TF 6A.71/2004 du 29 novembre 2004 c.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doivent être pris en considération dans l'établissement du pronostic (ATF 119 IV 5 c. 1a/bb; CREP 28 janvier 2015/66; CREP 12 novembre 2013/663; CREP 27 septembre 2013/563 c. 2b in fine).</w:t>
      </w:r>
    </w:p>
    <w:p>
      <w:r>
        <w:rPr>
          <w:b/>
        </w:rPr>
        <w:t>E. 2.2</w:t>
      </w:r>
    </w:p>
    <w:p>
      <w:r>
        <w:t>En l'espèce, la condition objective des deux tiers de la peine prévue par l'art. 86 al. 1 CP sera réalisée le 22 mai 2015. Cela étant, la condition du bon comportement du recourant en détention ne saurait être considérée comme réalisée. En effet, le condamné a été sanctionné par l’autorité pénitentiaire à cinq reprises pour des faits en partie graves. Singulièrement, l’acte consistant à jeter un gobelet rempli d’urine au visage d’un agent de détention témoigne d’un mépris peu commun pour le travailleur en question, sa profession et l’autorité qu’il représente, ainsi que d’une absence totale d’amendement, du reste déjà relevés par le tribunal correctionnel dans le jugement du 20 janvier 2014. Qui plus est, ce deuxième épisode disciplinaire a également comporté des insultes avec menaces de mort contre le personnel ainsi que des gestes d’automutilation. En outre, il a été suivi de trois autres contraventions, à savoir notamment, d’abord, d’une bagarre avec un co-détenu accompagnée de dommages matériels et, ensuite, d’un crachat au visage perpétré au préjudice d’une agente de détention. Le mode opératoire et la gravité de cet acte-ci dénotent le même attitude envers l’ordre public que celle déjà à l’origine du deuxième épisode. Au vu de tels actes, qui révèlent une inquiétante propension à la violence, la récente amélioration constatée par ailleurs à l’approche de l’échéance des deux tiers de la peine n’est pas déterminante, ce d’autant que la dernière infraction a été réprimée il y a peu encore, soit le 30 janvier 2015. Les actes en question constituent un cas d’école de motifs commandant, à eux seuls, de refuser la libération conditionnelle (cf. les arrêts cités au c. 2.1 in fine ci-dessus, notamment CREP 28 janvier 2015/66 et CREP 12 novembre 2013/663, dans lesquels la Cour de céans a considéré que le comportement du condamné en détention suffisait à commander le refus de la libération conditionnelle).</w:t>
      </w:r>
    </w:p>
    <w:p>
      <w:r>
        <w:rPr>
          <w:b/>
        </w:rPr>
        <w:t>E. 2.3</w:t>
      </w:r>
    </w:p>
    <w:p>
      <w:r>
        <w:t>Par surabondance, le pronostic à poser quant à l’avenir du condamné après une éventuelle libération conditionnelle doit être tenu pour défavorable. A cet égard, l'argumentation de la Juge d'application des peines est convaincante. La cour de céans s’y réfère dès lors intégralement. En effet, s’il devait être libéré conditionnellement, le recourant, dépourvu de tout titre de séjour ou permis de travail, ne pourrait vivre que dans l’illégalité, quelles que soient ses éventuelles autres intentions. En d’autres termes, il ne pourrait que perpétrer de nouvelles infractions, notamment à la loi fédérale sur les étrangers. Le degré d'introspection et l'amendement du recourant sont par ailleurs, comme déjà relevé, toujours largement insuffisants pour espérer un changement de comportement, à telle enseigne que les regrets exprimés apparaissent de pure façade. Enfin, le condamné s’oppose à son retour dans son pays d’origine, le seul dans lequel il est pourtant légitimé à résider en l’état. Or, comme le relève l’OEP dans sa saisine du 9 janvier 2015, une procédure de rapatriement peut s’avérer longue en l’absence de collaboration de la personne concernée, à telle enseigne, dans le cas particulier, que le SPOP a dû demander le soutien de l’autorité administrative fédérale. Il est donc à craindre que le recourant ne commette de nouveaux crimes ou de nouveaux délits s’il venait à être libéré. Aussi, il y a lieu de considérer que le pronostic est clairement défavorable.</w:t>
      </w:r>
    </w:p>
    <w:p>
      <w:r>
        <w:rPr>
          <w:b/>
        </w:rPr>
        <w:t>E. 3</w:t>
      </w:r>
    </w:p>
    <w:p>
      <w:r>
        <w:t>Il résulte de ce qui précède que le recours, manifestement mal fondé, doit être rejeté sans autres échanges d’écritures (art. 390 al. 2 CPP) et l’ordonnance du 27 avril 2015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avril 2015 est confirmée. III. L’indemnité allouée au défenseur d’office de U.________ est fixée à 486 fr. (quatre cent huitante-six francs). IV. Les frais d’arrêt, par 990 fr. (neuf cent nonante francs), ainsi que l’indemnité due au défenseur d’office de U.________, par 486 fr. (quatre cent huitante-six francs), sont mis à la charge de ce dernier. V. Le remboursement à l'Etat de l'indemnité allouée au chiffre III ci-dessus ne sera exigible que pour autant que la situation économique de U.________ se soit améliorée. VI. Le présent arrêt est exécutoire. Le président :               Le greffier : Du Le présent arrêt, dont la rédaction a été approuvée à huis clos, est notifié, par l'envoi d'une copie complète, à : - Mme Nathalie Roussianos Demage, avocate (pour U.________), - Ministère public central; et communiqué à : ‑ Mme la Juge d’application des peines, - M. le Procureur de l’arrondissement de Lausanne, - Office d’exécution des peines (réf. : OEP/PPL/104182/VRI/PEJ), - Direction de la Prison du Bois-Mermet,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