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367 vom 11. Mai 2015</w:t>
      </w:r>
    </w:p>
    <w:p>
      <w:r>
        <w:t>VD Tribunal cantonal, 2015-05-11, FR</w:t>
      </w:r>
    </w:p>
    <w:p>
      <w:r>
        <w:rPr>
          <w:b/>
        </w:rPr>
        <w:t xml:space="preserve">Quelle: </w:t>
      </w:r>
      <w:r>
        <w:t>https://mcp.opencaselaw.ch/entscheid/vd_findinfo_D_cision___2015___367</w:t>
      </w:r>
    </w:p>
    <w:p>
      <w:r>
        <w:t>FR: VD_FINDINFO Décision / 2015 / 367 du 11 mai 2015</w:t>
      </w:r>
    </w:p>
    <w:p>
      <w:r>
        <w:t>IT: VD_FINDINFO Décision / 2015 / 367 del 11 maggio 2015</w:t>
      </w:r>
    </w:p>
    <w:p>
      <w:pPr>
        <w:pStyle w:val="Heading2"/>
      </w:pPr>
      <w:r>
        <w:t>Regeste</w:t>
      </w:r>
    </w:p>
    <w:p>
      <w:r>
        <w:t>CONTRAINTE{DROIT PÉNAL} | 181 CP</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RSV 312.01] ; art. 80 LOJV [loi vaudoise du 12 décembre 1979 d’organisation judiciaire ; RSV 173.01]). Interjeté dans le délai légal auprès de l’autorité compétente par la partie plaignante, qui a la qualité pour recourir (art. 382 al. 1 CPP), et satisfaisant aux conditions de forme posées par la loi (art. 385 al. 1 CPP), le recours est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w:t>
      </w:r>
    </w:p>
    <w:p>
      <w:r>
        <w:t>La recourante soutient que les éléments constitutifs de la contrainte au sens de l’art. 181 CP seraient réalisés.</w:t>
      </w:r>
    </w:p>
    <w:p>
      <w:r>
        <w:rPr>
          <w:b/>
        </w:rPr>
        <w:t>E. 3.1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 3.3.1 ; ATF 134 IV 216 c. 4.2 ; Dupuis et al., Code pénal, Petit commentaire, 2012, n. 17 ad art. 181 CP). La contrainte peut être contraire au droit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120 IV 17 c. 2a). La disproportion entre les moyens dont fait usage l’auteur et le but qu’il poursuit est réalisée lorsqu’il n’y a pas de rapport interne de connexité entre l’objet de la menace et l’exigence formulée (TF 6B_281/2013 du 16 juillet 2013 c. 1.1 ; Dupuis et al., op. cit., nn. 27-31 ad art. 181 CP). Sur le plan subjectif, il faut que l’auteur ait agi avec conscience et volonté, soit au moins qu’il ait accepté l’éventualité que le procédé illicite employé entrave le destinataire dans sa liberté de décision (ATF 120 IV 17 c. 2c ; TF 6B_38/2011 du 26 avril 2011 c. 2.2.1).</w:t>
      </w:r>
    </w:p>
    <w:p>
      <w:r>
        <w:rPr>
          <w:b/>
        </w:rPr>
        <w:t>E. 3.2</w:t>
      </w:r>
    </w:p>
    <w:p>
      <w:r>
        <w:t>En l’espèce, le procureur a relevé que X.________ n’avait signé les reconnaissances de dette litigieuses que le lendemain de la séance lors de laquelle les élèves insatisfaits l’avaient rencontrée. Elle avait admis avoir demandé aux intimés ce jour-là s’ils souhaitaient lui servir d’experts aux examens suivants, ce qui ne laissait pas transparaître une pression ou une contrainte. Le magistrat a ajouté que si elle s’était réellement sentie contrainte, X.________ ne se serait pas présentée seule à la première partie des examens, indiquant qu’elle aurait pu ne pas se présenter ou encore refuser de faire passer les examens aux élèves incriminés. Il a considéré qu’une directrice d’école devait faire face à des étudiants insatisfaits sans que cela apparaisse extraordinaire et qu’on ne discernait ni usage de la violence, ni menace d’un dommage sérieux ou autre acte entravant la personne dans sa liberté d’action au sens de l’art. 181 CP, le fait d’indiquer « s’énerver facilement » ou l’expression « il y en a d’autres qui vont te coller des baffes » étant manifestement insuffisant pour constituer une menace d’un dommage sérieux. Le procureur a enfin considéré que d’un point de vue subjectif, il n’était pas établi que les élèves prévenus aient eu conscience du fait que leur comportement puisse être de nature à alarmer ou à effrayer X.________, tous ayant déclaré qu’ils pensaient être en bons termes avec la plaignante, qui leur avait elle-même proposé d’intervenir comme experts pour son école à l’avenir et leur avait indiqué qu’ils étaient « un chouette groupe ». Le magistrat a relevé en particulier que la plaignante avait plusieurs moyens de pression de son côté, tels que le refus de faire passer les examens ou de délivrer les certificats, ce qui impliquait une position de force la mettant objectivement à l’abri de toute contrainte. Cette appréciation, complète et convaincante, ne prête pas le flanc à la critique et doit être confirmée. En effet, la recourante a certes pu se sentir mise sous pression par l’effet de groupe et les propos assez exaspérés de ses élèves insatisfaits lors de l’entretien du 17 mai 2014. Il n’y a cependant aucun indice concret et objectif d’un acte de contrainte au sens restrictif de la jurisprudence rappelée ci-dessus. Le certificat médical que la recourante a produit (P. 8/1) – établi 1 er juillet 2014, soit près de deux mois après les faits – ne fait que retranscrire les symptômes qu’elle a décrit à ses thérapeutes et n’apporte rien qui permettrait de modifier ce constat. Il résulte de ce qui précède que les éléments avancés par la recourante à l’appui de son écriture du 5 mars 2015 ne suffisent pas à étayer à satisfaction de droit les soupçons à l’encontre des prévenus. Compte tenu des circonstances de l’espèce, les perspectives d’une condamnation apparaissent ainsi manifestement inférieures à celles d’une libération. L’ordonnance de classement attaquée doit dès lors être confirmée.</w:t>
      </w:r>
    </w:p>
    <w:p>
      <w:r>
        <w:rPr>
          <w:b/>
        </w:rPr>
        <w:t>E. 4</w:t>
      </w:r>
    </w:p>
    <w:p>
      <w:r>
        <w:t>En définitive, le recours doit être rejeté et l’ordonnance du 6 février 2015 confirmée. Les frais de la procédure de recours, constitués du seul émolument d’arrêt, par 880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6 février 2015 est confirmée. III. Les frais d’arrêt, par 880 fr. (huit cent huitante francs), sont mis à la charge de la recourante. IV. Le présent arrêt est exécutoire. Le président :               La greffière : Du Le présent arrêt, dont la rédaction a été approuvée à huis clos, est notifié, par l'envoi d'une copie complète, à : - M. Philippe Ehrenström, avocat (pour X.________), - M. C.________, - Mme W.________, - Mme S.________, - M. B.________, - M. V.________, - M. J.________, - Ministère public central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