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362 vom 29. April 2015</w:t>
      </w:r>
    </w:p>
    <w:p>
      <w:r>
        <w:t>VD Tribunal cantonal, 2015-04-29, FR</w:t>
      </w:r>
    </w:p>
    <w:p>
      <w:r>
        <w:rPr>
          <w:b/>
        </w:rPr>
        <w:t xml:space="preserve">Quelle: </w:t>
      </w:r>
      <w:r>
        <w:t>https://mcp.opencaselaw.ch/entscheid/vd_findinfo_D_cision___2015___362</w:t>
      </w:r>
    </w:p>
    <w:p>
      <w:r>
        <w:t>FR: VD_FINDINFO Décision / 2015 / 362 du 29 avril 2015</w:t>
      </w:r>
    </w:p>
    <w:p>
      <w:r>
        <w:t>IT: VD_FINDINFO Décision / 2015 / 362 del 29 aprile 2015</w:t>
      </w:r>
    </w:p>
    <w:p>
      <w:pPr>
        <w:pStyle w:val="Heading2"/>
      </w:pPr>
      <w:r>
        <w:t>Regeste</w:t>
      </w:r>
    </w:p>
    <w:p>
      <w:r>
        <w:t>EXPERT, RÉCUSATION | 183 CPP, 56 CPP</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décision par laquelle le ministère public établit un mandat d’expertise désignant l’expert et définissant les questions précises qu’il lui donne mandat d’examiner (cf. art. 184 al. 2 let. a et c CPP) est ainsi susceptible de recours selon les art. 393 ss CPP (Vuille, in: Kuhn/Jeanneret (éd.), Commentaire romand, Code de procédure pénale suisse, Bâle 2011, n. 17 ad art. 184 CPP; Heer, in: Niggli/Heer/Wiprächtiger (éd.), Basler Kommentar, Schweizerische Strafprozessordnung, Jugendstrafprozessordnung, Art. 1-195 StPo, 2 e éd. Bâle 2014, n. 38 ad art. 184 CPP). Ce recours s’exerce auprès de l’autorité de recours (cf. art. 20 al. 1 let. b CPP) qui, dans le canton de Vaud, est la Chambre des recours pénale du Tribunal cantonal (art. 13 LVCPP [loi cantonale vaudoise d'introduction du Code de procédure pénale suisse du 19 mai 2009; RSV 312.01]; art. 80 LOJV [loi vaudoise d'organisation judiciaire du 12 décembre 1979; RSV 173.01]). Le recours doit être adressé par écrit, dans un délai de dix jours dès la notification de la décision attaquée (cf. art. 384 let. b CPP), à l’autorité de recours (art. 396 al. 1 CPP). Si les parties peuvent ainsi recourir contre un mandat d’expertise (art. 184 CPP) pour critiquer le choix de l’expert, en faisant valoir notamment qu’il ne possède pas les qualifications requises pour le type d’expertise dont il s’agit, ce n’est en revanche pas par cette voie qu’elles doivent faire valoir des motifs de récusation à l’encontre de l’expert désigné, mais bien par la voie de la procédure prévue par les art. 56 ss CPP (TF 1B_488/2011 du 2 décembre 2011 c. 1.1; TF 1B_243/2012 du 9 mai 2012 c. 1.2; JT 2012 III 245). Dès qu’une partie a connaissance d’un motif de récusation (cf. art. 183 al. 3 et 56 CPP), elle doit le communiquer à l’autorité sans délai (cf. art. 58 al. 1 CPP), et non pas seulement au moment du dépôt de l’expertise, une fois constaté que ses conclusions lui sont défavorables (Vuille, op. cit., n. 28 ad art. 183 CPP, p. 846). La personne concernée prend position sur la demande (art. 58 al. 2 CPP). Le Code de procédure pénale suisse ne désigne pas l'autorité compétente pour statuer sur une demande de récusation visant un expert. Selon la jurisprudence du Tribunal fédéral – qui relève que l'art. 183 al. 3 CPP prévoit uniquement que les motifs de récusation énoncés à l'art. 56 CPP sont applicables aux experts, sans renvoyer expressément à l'art. 59 CPP relatif à la décision sur récusation –, cette lacune peut être comblée en appliquant par analogie l'art. 59 al. 1 let. b CPP, qui prévoit que l'autorité de recours est compétente lorsque le Ministère public, les autorités pénales compétentes en matière de contraventions et les Tribunaux de première instance sont concernés. Ainsi, lorsqu’un motif de récusation au sens de l’art. 56 let. a ou f CPP est invoqué à l’encontre d’un expert désigné par le Ministère public, par l'autorité pénale compétente en matière de contraventions ou par la direction de la procédure du Tribunal de première instance, c’est, dans le canton de Vaud, la Chambre des recours pénale du Tribunal cantonal qui, en tant qu'autorité de recours (art. 13 LVCPP), est compétente pour statuer définitivement sur la demande de récusation de l'expert (TF 1B_488/2011 du 2 décembre 2011 c. 1.1; TF 1B_243/2012 du 9 mai 2012 c. 1.2).</w:t>
      </w:r>
    </w:p>
    <w:p>
      <w:r>
        <w:rPr>
          <w:b/>
        </w:rPr>
        <w:t>E. 1.2</w:t>
      </w:r>
    </w:p>
    <w:p>
      <w:r>
        <w:t>En l'occurrence, V.________ ne critique pas les qualifications de l'expert, ni le contenu des questions qui lui sont posées, mais bien la désignation de la personne d'J.________ comme expert. Ce faisant, son recours doit être traité comme une demande de récusation qui, déposée auprès de l'autorité compétente sitôt le mandat d'expertise ordonné, est recevable.</w:t>
      </w:r>
    </w:p>
    <w:p>
      <w:r>
        <w:rPr>
          <w:b/>
        </w:rPr>
        <w:t>E. 2.1</w:t>
      </w:r>
    </w:p>
    <w:p>
      <w:r>
        <w:t>L'art. 56 CPP – applicable aux experts par renvoi de l'art. 183 al. 3 CPP – énumère divers motifs de récusation aux let. a à e, la let. f imposant la récusation "lorsque d'autres motifs, notamment un rapport d'amitié étroit ou d'inimitié avec une partie ou son conseil, sont de nature à le rendre suspect de prévention". La let. f de l'art. 56 CPP a la portée d'une clause générale recouvrant tous les motifs de récusation non expressément prévus aux lettres précédentes (ATF 138 IV 142 c. 2.1; TF 1B_45/2015 du 29 avril 2015 c. 2.1 et les références citées). L'art. 56 CPP concrétise les garanties déduites de l'art. 30 al. 1 Cst. Certes, dès lors que l'expert ne fait pas partie du tribunal, sa récusation ne s'examine pas au regard de l'art. 30 al. 1 Cst., mais sous l'angle de l'art. 29 al. 1 Cst. garantissant l'équité du procès (ATF 125 II 541 c. 4a). Cette disposition assure toutefois au justiciable une protection équivalente à celle de l'art. 30 al. 1 Cst. s'agissant des exigences d'impartialité et d'indépendance requises d'un expert (ATF 127 I 196 c. 2b; TF 1B_488/2011 du 2 décembre 2011 c.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il suffit que les circonstances donnent l'apparence d'une prévention et fassent redouter une activité partiale. Cependant, seules les circonstances constatées objectivement doivent être prises en compte, les impressions purement individuelles n'étant pas décisives (ATF 140 III 221 c. 4.1; ATF 139 III 433 c. 2.1.1; ATF 138 IV 142 c. 2.1; ATF 137 I 227 c. 2.1 et les références citées).</w:t>
      </w:r>
    </w:p>
    <w:p>
      <w:r>
        <w:rPr>
          <w:b/>
        </w:rPr>
        <w:t>E. 2.2</w:t>
      </w:r>
    </w:p>
    <w:p>
      <w:r>
        <w:t>Le requérant invoque une violation de l'art. 56 let. a CPP, au vu de la relation commerciale qui lie J.________ et l'entreprise P.________ SA. En l'occurrence, il est établi qu'J.________ a signé, en 2011, un contrat d'entretien avec P.________ SA, au terme duquel cette entreprise est chargée de passer, une fois par an, pour vidanger la mini-station d'épuration située à son domicile, opération dont la durée est estimée à 2 heures (P. 29/2). L'existence de ce contrat n'implique donc pas de lien personnel étroit entre les intéressés et ne suffit pas pour admettre l'existence d'un intérêt direct ou indirect de l'expert J.________ avec l'affaire. La même appréciation vaut si la situation est examinée au regard de l'art. 56 let. f CPP, aucun motif de prévention n'étant réalisé au regard de cette disposition.</w:t>
      </w:r>
    </w:p>
    <w:p>
      <w:r>
        <w:rPr>
          <w:b/>
        </w:rPr>
        <w:t>E. 3</w:t>
      </w:r>
    </w:p>
    <w:p>
      <w:r>
        <w:t>En définitive, la demande de récusation présentée par V.________ à l'encontre de l'expert J.________ doit être rejetée. Dans la mesure où le requérant est au bénéfice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770 fr. (art. 20 al. 1 TFIP [Tarif des frais de procédure et indemnités en matière pénale du 28 septembre 2010; RSV 312.03.1]) et des frais imputables à l’assistance judiciaire gratuite (art. 422 al. 1 et 2 let. a CPP), fixés à 540 fr., plus la TVA par 43 fr. 20, soit au total 583 fr. 20 – ne peuvent être mis à la charge du requérant qui succombe (art. 59 al. 4 CPP), mais doivent être provisoirement laissés à la charge de l’Etat (Goran Mazzuchelli/Mario Postizzi, in: Niggli/Heer/Wiprächtiger (éd.), Basler Kommentar, Schweizerische Strafprozessordnung, Jugendstrafprozessordnung, Art. 1-195 StPo, 2 e éd. Bâle 2014, n. 4 ad art. 138 CPP; Maurice Harari/Corinne Corminboeuf, in: Kuhn/Jeanneret [éd.], Code de procédure pénale suisse, Commentaire romand, Bâle 2011, n. 51 ad art. 136 CPP). Le recourant sera toutefois tenu de rembourser ces frais à l’Etat dès que sa situation financière le permettra (art. 135 al. 4 CPP et 138 al. 1 CPP; Mazzuchelli/Postizzi, op. cit., n. 4 ad art. 138 CPP; Harari/Corminboeuf, op. cit., n. 11 ad art. 138 CPP). Par ces motifs, la Chambre des recours pénale prononce : I. La demande de récusation présentée le 2 avril 2015 par V.________ est rejetée. II. L'indemnité allouée au conseil juridique gratuit du requérant est fixée à 583 fr. 20 (cinq cent huitante-trois francs et vingt centimes). III. Les frais d’arrêt, par 770 fr. (sept cent septante francs), ainsi que l’indemnité due au conseil juridique gratuit du requérant, par 583 fr. 20 (cinq cent huitante-trois francs et vingt centimes), sont provisoirement laissés à la charge de l’Etat. IV. Le requérant est tenu de rembourser à l’Etat l’indemnité allouée au chiffre II ci-dessus ainsi que les frais fixés au chiffre III ci-dessus dès que sa situation financière le permettra. V. La présente décision est exécutoire. Le président :               La greffière : Du La présente décision, dont la rédaction a été approuvée à huis clos, est notifiée, par l'envoi d'une copie complète, à : - M. Gilles-Antoine Hofstetter, avocat (pour V.________), - M. Luc Del Rizzo, avocat (pour I.________), - Ministère public central, et communiquée à : - M. le Procureur de l'arrondissement de l'Est vaudois, - M. J.________,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