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360 vom 28. April 2015</w:t>
      </w:r>
    </w:p>
    <w:p>
      <w:r>
        <w:t>VD Tribunal cantonal, 2015-04-28, FR</w:t>
      </w:r>
    </w:p>
    <w:p>
      <w:r>
        <w:rPr>
          <w:b/>
        </w:rPr>
        <w:t xml:space="preserve">Quelle: </w:t>
      </w:r>
      <w:r>
        <w:t>https://mcp.opencaselaw.ch/entscheid/vd_findinfo_D_cision___2015___360</w:t>
      </w:r>
    </w:p>
    <w:p>
      <w:r>
        <w:t>FR: VD_FINDINFO Décision / 2015 / 360 du 28 avril 2015</w:t>
      </w:r>
    </w:p>
    <w:p>
      <w:r>
        <w:t>IT: VD_FINDINFO Décision / 2015 / 360 del 28 aprile 2015</w:t>
      </w:r>
    </w:p>
    <w:p>
      <w:pPr>
        <w:pStyle w:val="Heading2"/>
      </w:pPr>
      <w:r>
        <w:t>Regeste</w:t>
      </w:r>
    </w:p>
    <w:p>
      <w:r>
        <w:t>INDEMNITÉ{EN GÉNÉRAL}, DÉFENSE D'OFFICE, JUGE UNIQUE | 135 CPP (CH), 395 let. b CPP (CH)</w:t>
      </w:r>
    </w:p>
    <w:p>
      <w:pPr>
        <w:pStyle w:val="Heading2"/>
      </w:pPr>
      <w:r>
        <w:t>Erwägungen</w:t>
      </w:r>
    </w:p>
    <w:p>
      <w:r>
        <w:rPr>
          <w:b/>
        </w:rPr>
        <w:t>E. 1.1</w:t>
      </w:r>
    </w:p>
    <w:p>
      <w:r>
        <w:t>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D.________ qui a qualité pour recourir contre la décision fixant son indemnité. Il convient donc d’entrer en matière sur le recours.</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(Juge unique CREP 2 juin 2014/379; Juge unique CREP 24 juillet 2013/461; Juge unique CREP 9 novembre 2011/477). Aux termes de l'art. 13 al. 2 LVCPP, un juge de la Chambre des recours pénale est compétent pour statuer sur les recours en tant que juge unique dans les cas prévus à l'art. 395 CPP. En l'occurrence, le montant réclamé par le recourant à titre d’indemnité de défenseur d’office – qui entre dans la notion de conséquences économiques d’une décision – s'élève à 12'728 fr. 20 et celui alloué par jugement du 6 mars 2015 à 9'682 fr. 20. Ainsi, le montant litigieux s'élève à 3'046 fr. (12'728 fr. 20 – 9'682 fr. 20), de sorte que le recours relève de la compétence d'un juge unique de la Chambre des recours pénale.</w:t>
      </w:r>
    </w:p>
    <w:p>
      <w:r>
        <w:rPr>
          <w:b/>
        </w:rPr>
        <w:t>E. 2</w:t>
      </w:r>
    </w:p>
    <w:p>
      <w:r>
        <w:t>Le recourant reproche au premier juge d’avoir réduit à tort ses honoraires et relève qu’il n’a pas motivé sa décision.</w:t>
      </w:r>
    </w:p>
    <w:p>
      <w:r>
        <w:rPr>
          <w:b/>
        </w:rPr>
        <w:t>E. 2.1</w:t>
      </w:r>
    </w:p>
    <w:p>
      <w:r>
        <w:t>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(Juge unique CREP 21 octobre 2013/628 c. 2 a et les références citées). Dans le canton de Vaud, l'indemnité horaire de l’avocat d’office breveté est usuellement fixée à 180 fr., TVA en sus, et celle de l’avocat-stagiaire à 110 fr. (cf. ATF 132 I 201; TF 6B_273/2009 du 2 juillet 2009 c. 2.1;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Lorsque l’autorité statue sur la base d'une liste d’opérations et débours et d’un tarif horaire déterminé, comme c’est le cas dans le canton de Vaud,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6B_389/2013 du 26 novembre 2013 c.1; TF 6B_124/2012 du 22 juin 2012 c. 2.2 et 2.3). S’agissant des frais de déplacement, ceux-ci sont dédommagés forfaitairement par 120 fr. pour les avocats et 80 fr. pour les avocats stagiaires. D'après la jurisprudence, ce forfait vaut pour tout le canton et couvre les kilomètres et le temps du déplacement aller et retour (Juge unique CREP du 11 juin 2013/375; Juge unique CREP du 26 décembre 2012/844 c. 3c/bb; Note 6.6 du Procureur général sur la fixation et le calcul des indemnités des conseils d'office du 17 janvier 2012).</w:t>
      </w:r>
    </w:p>
    <w:p>
      <w:r>
        <w:rPr>
          <w:b/>
        </w:rPr>
        <w:t>E. 2.2</w:t>
      </w:r>
    </w:p>
    <w:p>
      <w:r>
        <w:t>En l’espèce, le Tribunal correctionnel n’a pas expliqué les raisons qui l’ont conduit à s’écarter de la liste des opérations produite par le recourant. Ce vice peut toutefois être réparé dans le cadre de la présente procédure de recours (Juge unique CREP 13 mars 2014/195 c. 2.2 et les références citées). Le recourant allègue, s’agissant des honoraires, avoir consacré au dossier 64 heures 35, dont 17 heures 25 accomplies par ses stagiaires. En l’occurrence, il convient de retrancher le temps consacré à l’ouverture et à la clôture du dossier, ainsi qu’à l’envoi de copies, soit respectivement 25 minutes et 2 heures 35 (au tarif avocat), dans la mesure où il ne s’agit que d’un pur travail de secrétariat qui entre dans les frais généraux de l’étude du recourant. En outre, le temps consacré le 2 mars 2015 à la préparation d’audience apparaît excessif compte tenu de l’ampleur et de la difficulté toutes relatives du dossier : 3 heures auraient suffit. Il convient par conséquent de réduire de 1 heure 30 le temps comptabilisé au tarif de l’avocat-stagiaire. Pour le reste, la liste détaillée des opérations dont se prévaut le recourant ne comporte aucun procédé superflu; de même, la durée d’activité dont il fait état s’avère adéquate. Enfin, pour les vacations, le recourant mentionne neuf déplacements effectués par lui-même et six déplacements effectués par ses stagiaires. Il réclame ainsi des indemnités forfaitaires pour un total de 1’560 fr. ([9 x 120] + [6 x 80]), ce qui lui sera alloué. Le montant de 87 fr. réclamé à titre de débours apparaît également justifié. Sur le vu de ce qui précède, on retiendra 44 heures 10 pour le temps consacré au dossier par le recourant (47h10 – 3h) et 15 heures 55 pour le temps consacré au dossier par ses stagiaires (17h25 – 1h30), ce qui correspond à 9'700 fr. 85 au total. A ce montant s’ajoutent les frais de déplacements par 1’560 fr. et les débours par 87 francs. L’indemnité d’office de Me M.________ doit ainsi être arrêtée à 12'255 fr. 70, TVA par 907 fr. 80 comprise.</w:t>
      </w:r>
    </w:p>
    <w:p>
      <w:r>
        <w:rPr>
          <w:b/>
        </w:rPr>
        <w:t>E. 3</w:t>
      </w:r>
    </w:p>
    <w:p>
      <w:r>
        <w:t>En définitive, le recours doit être partiellement admis et le jugement entrepris réformé aux chiffres XXVII et XXXI de son dispositif dans le sens des considérants qui précèdent. Le défenseur d'office qui recourt en son nom a droit à des honoraires (Ruckstuhl, in : Niggli/Heer/Wiprächtiger [éd.], Schweizerische Strafprozessordnung, Jugendstrafprozessordnung, Bâle 2014, nn. 16 et 18 ad art. 135 CPP ; Juge unique CREP 2 juin 2014/379 ; Juge unique CREP 9 novembre 2011/477). Au vu du mémoire produit et de l’issue du recours, l'indemnité qu'il convient d'allouer à Me M.________ doit être fixée à 360 fr., plus la TVA par 28 fr. 80, soit un total de 388 fr. 80. Les frais de la procédure de recours, constitués de l'émolument d'arrêt, par 630 fr. (art. 20 al. 1 TFIP [Tarif des frais de procédure et indemnités en matière pénale du 28 septembre 2010; RSV 312.03.1]), ainsi que l'indemnité allouée au recourant, par 388 fr. 80, seront laissés à la charge de l'Etat (art. 423 al. 1 CPP). Par ces motifs, le juge unique prononce : I. Le recours est partiellement admis. II. Le jugement du 6 mars 2015 est réformé aux chiffres XXVII et XXXI de son dispositif comme il suit : « XXVII. arrête l’indemnité de Me M.________ à 12'255 fr. 70 (douze mille deux cent cinquante-cinq francs et septante centimes), dont à déduire une avance de 7'100 fr. (sept mille cent francs); XXXI.              met une part des frais, par 21'739 fr.70 (vingt et un mille sept cent trente-neuf francs et septante centimes) à la charge de D.________, montant incluant l’indemnité à son conseil d’office arrêtée sous chiffre XXVII ci-dessus, dont le remboursement à l’Etat n’est exigible que si la situation financière du débiteur le permet. » III. L’indemnité allouée à Me M.________ pour la procédure de recours est fixée à 388 fr. 80 (trois cent huitante-huit francs et huitante centimes), TVA comprise. IV. Les frais d’arrêt, par 630 fr. (six cent trente francs), ainsi que l’indemnité allouée à Me M.________, par 388 fr. 80 (trois cent huitante-huit francs et huitante centimes), sont laissés à la charge de l’Etat. V. Le présent arrêt est exécutoire. Le juge unique :               La greffière : Du Le présent arrêt, dont la rédaction a été approuvée à huis clos, est notifié, par l'envoi d'une copie complète, à : - M. M.________, avocat (pour lui-même et pour D.________), - Ministère public central, et communiqué à : ‑ M. le Président du Tribunal correctionnel de l’arrondissement de Lausanne, - Mme la Procureure de l’arrondissement de Lausanne, par l’envoi de photocopies. En vertu de l’art. 135 al. 3 let. b CPP, le présent arrêt peut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