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349 vom 5. Mai 2015</w:t>
      </w:r>
    </w:p>
    <w:p>
      <w:r>
        <w:t>VD Tribunal cantonal, 2015-05-05, FR</w:t>
      </w:r>
    </w:p>
    <w:p>
      <w:r>
        <w:rPr>
          <w:b/>
        </w:rPr>
        <w:t xml:space="preserve">Quelle: </w:t>
      </w:r>
      <w:r>
        <w:t>https://mcp.opencaselaw.ch/entscheid/vd_findinfo_D_cision___2015___349</w:t>
      </w:r>
    </w:p>
    <w:p>
      <w:r>
        <w:t>FR: VD_FINDINFO Décision / 2015 / 349 du 5 mai 2015</w:t>
      </w:r>
    </w:p>
    <w:p>
      <w:r>
        <w:t>IT: VD_FINDINFO Décision / 2015 / 349 del 5 maggio 2015</w:t>
      </w:r>
    </w:p>
    <w:p>
      <w:pPr>
        <w:pStyle w:val="Heading2"/>
      </w:pPr>
      <w:r>
        <w:t>Regeste</w:t>
      </w:r>
    </w:p>
    <w:p>
      <w:r>
        <w:t>RÉCUSATION, RISQUE DE COLLUSION, RISQUE DE RÉCIDIVE | 221 al. 1 let. b CPP (CH), 221 al. 1 let. c CPP (CH), 56 let. f CPP (CH)</w:t>
      </w:r>
    </w:p>
    <w:p>
      <w:pPr>
        <w:pStyle w:val="Heading2"/>
      </w:pPr>
      <w:r>
        <w:t>Erwägungen</w:t>
      </w:r>
    </w:p>
    <w:p>
      <w:r>
        <w:rPr>
          <w:b/>
        </w:rPr>
        <w:t>E. 1</w:t>
      </w:r>
    </w:p>
    <w:p>
      <w:r>
        <w:t>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F.________ à l’encontre du Procureur [...] (art. 13 LVCPP [loi vaudoise du 19 mai 2009 d’introduction du code de procédure pénale suisse ; RSV 312.01]).</w:t>
      </w:r>
    </w:p>
    <w:p>
      <w:r>
        <w:rPr>
          <w:b/>
        </w:rPr>
        <w:t>E. 2.1</w:t>
      </w:r>
    </w:p>
    <w:p>
      <w:r>
        <w:t>L'art. 56 let. a à f CPP énonce divers motifs de récusation qualifiés à l'égard de toute personne exerçant une fonction au sein d’une autorité pénale ;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 2.1.2 ; TF 6B_629/2011 du 19 décembre 2011 c. 2.2).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 0.101) permet d'exiger la récusation d'un juge – respectivement d'un procureur (cf. ATF 138 IV 142) – dont la situation ou le comportement est de nature à faire naître un doute sur son impartialité (ATF 126 I 68 c. 3a ; TF 1B_629/2011 précité c. 2.1 et la référence citée).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136 III 605 c. 3.2.1 ; ATF 134 I 20 c. 4.2 ; TF 1B_105/2013 du 21 mai 2013 c. 2.1). Même si elles sont établies, des erreurs de procédure ou d'appréciation commises par un magistrat ne suffisent pas à fonder objectivement un soupçon de prévention ; seules des erreurs particulièrement lourdes ou répétées, constituant des violations graves de ses devoirs, peuvent justifier le soupçon de parti pris (ATF 116 Ia 135 c. 3a ; ATF 114 Ia 153 c. 3b/bb ; ATF 111 Ia 259 c. 3b/aa et les références citées). S’agissant d’un représentant du Ministère public, les exigences ne sont pas les mêmes que pour un juge ;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Bâle 2013, nn. 23 ss ad rem. prél. aux art. 56 à 60 CPP et l’arrêt cité). En particulier, dans la phase de l'enquête préliminaire et de l'instruction, les principes applicables à la récusation du Ministère public sont ceux qui ont été dégagés à l'égard des juges d'instruction avant l'introduction du Code de procédure pénale. Selon l'art. 61 CPP, le Ministère public est l'autorité investie de la direction de la procédure jusqu'à la mise en accusation. A ce titre, il doit veiller au bon déroulement et à la légalité de la procédure (art. 62 al. 1 CPP). Durant l'instruction il doit établir, d'office et avec un soin égal, les faits à charge et à décharge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 2.1 et les références citées ; TF 1B_129/2014 du 16 mai 2014 c. 2.1).</w:t>
      </w:r>
    </w:p>
    <w:p>
      <w:r>
        <w:rPr>
          <w:b/>
        </w:rPr>
        <w:t>E. 2.2</w:t>
      </w:r>
    </w:p>
    <w:p>
      <w:r>
        <w:t>En l’espèce, F.________ reproche au Procureur de s'être forgé une opinion définitive quant à sa culpabilité dès le début de l'affaire. Contrairement à ce que prétend le prénommé, les questions posées aux personnes entendues par le Procureur ne permettent pas de suspecter ce dernier de parti pris; elles s'inscrivent dans la conduite normale de la procédure et des auditions de la part d’un magistrat instructeur. Pour le surplus, il y a lieu de se référer à la prise de position détaillée et convaincante du Procureur (P. 272). En effet, comme celui-ci le relève à juste titre en référence à la jurisprudence, le magistrat instructeur ne fait pas preuve de partialité lorsqu'il fait état de ses convictions à un moment donné de l'enquête; cela peut au contraire s'avérer nécessaire à l'élucidation des faits. Le magistrat instructeur doit ainsi se voir reconnaître, dans le cadre de ses investigations, une certaine liberté, limitée par l'interdiction des procédés déloyaux et la nécessité de ne point avantager une partie au détriment d'une autre. Les déclarations du magistrat doivent ainsi être interprétées de manière objective, en tenant compte de leur contexte, du ton sur lequel elles sont faites, et du but apparemment recherché par leur auteur (TF 1B_229/2009 c. 3.2 et la référence citée; cf. c. 2.1 supra ). Or en l'occurrence, si le Ministère public a fait part de ses soupçons aux clients du prévenu, on ne saurait lui reprocher d'avoir considéré "sans équivoque qu'ils étaient victimes d'escroquerie", comme le fait valoir le requérant. Par ailleurs, c'est à tort que ce dernier soutient que le Procureur aurait "interdit à ces personnes de collaborer avec Monsieur F.________ en leur proposant si elles ne voulaient pas déposer une plainte" (recours, p. 2); le magistrat s'est en revanche limité à rappeler aux intéressés leur droit, le cas échéant, de déposer plainte, en réponse à leurs courriers (P. 261) ou à leurs appels téléphoniques (PV des opérations, pp. 36 et 37) ou encore lors de leurs auditions (PV aud. 4, lignes 179 et 180; PV aud. 7, lignes 216 à 218). Enfin, on ne saurait retenir que l'enquête a été menée "exclusivement à charge", comme le relève le requérant, dans mesure où le prévenu a, à chaque fois, été invité à se déterminer sur les éléments à disposition de la direction de la procédure, notamment sur les résultats des analyses financières (cf. P. 52, 56, 67, 74, 75, 77, 79); cela ressort d'ailleurs de son audition d'arrestation, au cours de laquelle le prévenu a eu l'occasion de se déterminer sur de nombreuses questions (PV aud. 10). Ainsi, en l'absence de circonstances objectives qui feraient redouter une activité partiale du Procureur, aucun motif de récusation au sens de l'art. 56 let. f CPP n'est réalisé en l'espèce.</w:t>
      </w:r>
    </w:p>
    <w:p>
      <w:r>
        <w:rPr>
          <w:b/>
        </w:rPr>
        <w:t>E. 3</w:t>
      </w:r>
    </w:p>
    <w:p>
      <w:r>
        <w:t>Il résulte de ce qui précède que la demande de récusation présentée le 30 avril 2015 par F.________ doit être rejetée. II. Recours contre l’ordonnance de refus de libération de la détention provisoire</w:t>
      </w:r>
    </w:p>
    <w:p>
      <w:r>
        <w:rPr>
          <w:b/>
        </w:rPr>
        <w:t>E. 4</w:t>
      </w:r>
    </w:p>
    <w:p>
      <w:r>
        <w:t>Aux termes de l’art. 393 al. 1 let. c CPP,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(CREP 12 février 2015/111; CREP 7 février 2011/14 et les références citées). Le recours doit être adressé par écrit, dans un délai de dix jours dès la notification de la décision attaquée (art. 384 let. b CPP), à l’autorité de recours (art. 396 al. 1 CPP) qui, dans le canton de Vaud, est la Chambre des recours pénale du Tribunal cantonal (art. 13 LVCPP; art. 80 LOJV [loi vaudoise du 12 décembre 1979 d’organisation judiciaire; RSV 173.01]). En l’espèce, le recours a été interjeté en temps utile devant l’autorité compétente, par le détenu, qui a qualité pour recourir (cf. art. 382 al. 1 CPP), et dans les formes prescrites (cf. art. 385 al. 1 CPP), de sorte qu’il est recevable.</w:t>
      </w:r>
    </w:p>
    <w:p>
      <w:r>
        <w:rPr>
          <w:b/>
        </w:rPr>
        <w:t>E. 5.1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("risque de fuite") (a), qu’il compromette la recherche de la vérité en exerçant une influence sur des personnes ou en altérant des moyens de preuve ("risque de collusion") (b) ou qu’il compromette sérieusement la sécurité d’autrui par des crimes ou des délits graves après avoir déjà commis des infractions du même genre ("risque de réitération") (c). La mise en détention provisoire n’est possible que s’il existe à l’égard de l’auteur présumé, et préalablement à toute autre cause, de graves soupçons de culpabilité d’avoir commis un crime ou un délit (ATF 139 IV 186 c. 2; Schmocker, in : Kuhn/Jeanneret (éd.), Commentaire romand, Code de procédure pénale suisse, Bâle 2011, nn. 7 ss ad art. 221 CPP, pp. 1024 ss).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 3.2; TF 1B_39/2014 du 11 février 2014 c. 2.2). En l’espèce, si F.________ conteste les infractions qui lui sont reprochées, affirmant avoir toujours eu l'intention de rembourser les personnes concernées, il a toutefois reconnu, en cours d'enquête, l'intégralité des montants empruntés, admettant que sa société [...] AG n'avait plus généré le moindre bénéfice depuis 2007 (PV aud. 10, ligne 932), que les institutions financières avec lesquelles elle travaillait ne rapportaient pas, respectivement avaient périclité (PV aud. 10, lignes 105 à 121 et 175 à 193) et que ses prospections de clientèle au cours des dernières années s'étaient révélées désastreuses (PV aud. 10, lignes 972 à 974). Ainsi, comme le Procureur l'a à juste titre relevé (P. 238, p. 13), le prévenu aurait implicitement reconnu qu'il n'avait jamais été en mesure de payer les intérêts de ses emprunts avec des gains réalisés par l'intermédiaire de sa société et que ceux-ci ne pouvaient donc être financés que par de nouveaux emprunts, alors qu'il aurait persisté à présenter sa société comme un véhicule d'investissement fiable, faisant croire à la perspective d'opérations commerciales profitables et faisant passer pour des gains les sommes issues des nouveaux emprunts à ses bailleurs de fonds. Dans ces circonstances, il existe des présomptions de culpabilité suffisantes à l’encontre du recourant, ce que ce dernier ne remet d'ailleurs pas en cause dans son recours. La condition préalable au maintien de F.________ en détention provisoire est dès lors réalisée.</w:t>
      </w:r>
    </w:p>
    <w:p>
      <w:r>
        <w:rPr>
          <w:b/>
        </w:rPr>
        <w:t>E. 5.2</w:t>
      </w:r>
    </w:p>
    <w:p>
      <w:r>
        <w:t>Le Tribunal a considéré que tant le risque de collusion que le risque de réitération étaient réalisés dans le cas particulier, ce que le recourant conteste.</w:t>
      </w:r>
    </w:p>
    <w:p>
      <w:r>
        <w:rPr>
          <w:b/>
        </w:rPr>
        <w:t>E. 5.2.1</w:t>
      </w:r>
    </w:p>
    <w:p>
      <w:r>
        <w:t>Selon l'art. 221 al. 1 let. b CPP, le maintien en détention provisoire se justifie notamment lorsqu’il y a sérieusement lieu de craindre que le prévenu compromette la recherche de la vérité en exerçant une influence sur des personnes ou en altérant des moyens de preuve. Ce motif de détention avant jugement, souvent appelé « risque de collusion »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op. cit., n. 14 et 15 ad art. 221 CPP; cf. ATF 137 IV 122 c. 6.2 et 6.4) – vise à garantir la constatation exacte et complète des faits.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 3.2 ; TF 1B_55/2010 du 11 mars 2010 c. 3.1 et les références citées). En l'espèce, le Ministère public a expliqué que plusieurs personnes – soit des victimes potentielles du prévenu – devaient encore être entendues et que d'autres s'étaient constituées parties plaignantes ou avaient pris contact avec la direction de la procédure pour s'enquérir des suites de l'affaire (P. 260, pp. 2 et 3). A cela s'ajoute que des analyses bancaires – portant sur une vingtaine de comptes ouverts par le prévenu sur une période de 8 ans – sont en cours et qu'elles pourraient conduire à l'identification de lésés supplémentaires (P. 240 et 260, p. 2). Or, il existe un risque concret qu'en cas de libération, le prévenu entrave l'instruction en prenant contact avec les personnes identifiées ou qui pourraient l'être par les investigations en cours, afin d'influencer leurs déclarations, dès lors qu'il a, par le passé, déjà contacté diverses personnes avant leur audition, leur affirmant faussement que l'affaire concernait un litige successoral ou allant même jusqu'à rédiger pour elles des lettres afin de requérir un report d'audience (PV aud 7, lignes 183 ss; PV aud. 9, lignes 300 ss). Au vu de ce qui précède, le risque de collusion est réalisé.</w:t>
      </w:r>
    </w:p>
    <w:p>
      <w:r>
        <w:rPr>
          <w:b/>
        </w:rPr>
        <w:t>E. 5.2.2</w:t>
      </w:r>
    </w:p>
    <w:p>
      <w:r>
        <w:t>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(ATF 123 I 268 c. 2e p. 271).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 En l'espèce, malgré un casier judiciaire vierge, le recourant, mis en cause pour escroquerie par métier, est soupçonné d'avoir agi depuis l’année 2006 déjà, causant un préjudice global de près de 13 millions de francs à ses investisseurs. L'activité délictueuse s'étendrait donc sur plusieurs années. Les faits reprochés au recourant sont graves, celui-ci semblant ne pas avoir hésité à exploiter l’inexpérience, la crédulité, la faiblesse d’esprit ou la maladie mentale de plusieurs personnes pour les amener, sous divers prétextes fallacieux, à lui remettre plusieurs millions de francs suisses sur la base de contrats de prêts frauduleux, sans avoir l’intention d’en rembourser le capital, ni la totalité des intérêts. L'intéressé, qui conteste les infractions qui lui sont reprochées, aurait poursuivi ses actes délictueux, alors même qu'il savait qu'une enquête pénale était ouverte contre lui, ce qui ne l'a pas dissuadé pour autant. Cette situation est d'autant plus inquiétante qu'il admet lui-même qu'en cas de libération, il reprendrait son activité de courtier; si cette activité n'est pas en soi délictueuse, comme il le relève, elle l'exposerait toutefois à la tentation de commettre de nouveaux actes illicites, afin de détourner sa société du danger imminent de faillite (recours, p. 7); or, on ne voit pas comment l'intéressé pourrait redresser la situation et, dans ces conditions, rembourser, ne serait-ce que partiellement, ses investisseurs, comme il prétend vouloir le faire ( ibidem ), si ce n'est par de nouveaux emprunts, de sorte qu'il se retrouverait dans les mêmes conditions que celles qui prévalaient au moment des faits. Dans ces circonstances, force est de constater que le pronostic est clairement défavorable. Enfin, la jurisprudence et la doctrine admettent que l'escroquerie par métier, dont la réitération est redoutée en l'occurrence, compromet sérieusement la sécurité d’autrui, au sens de l’art. 221 al. 1 let. c CPP (Forster, in : Niggli/Heer/Wiprächtiger [éd.], Basler Kommentar, Schweizerische Strafprozessordnung, Jugendstrafprozessordnung, 2 e éd., Bâle 2014, n. 14 ad art. 221 CPP et les références citées). Dans ces conditions et à ce stade de l’enquête, le risque de réitération est également réalisé.</w:t>
      </w:r>
    </w:p>
    <w:p>
      <w:r>
        <w:rPr>
          <w:b/>
        </w:rPr>
        <w:t>E. 5.2.3</w:t>
      </w:r>
    </w:p>
    <w:p>
      <w:r>
        <w:t>Par ailleurs, quand bien même la détention provisoire risque de causer au recourant une importante perte financière, comme il le soutient, aucune mesure de substitution n’est susceptible de parer les risques retenus. En particulier, l'assignation à résidence assortie d'une surveillance électronique proposée par le recourant ne prévient pas les risques de collusion ou de récidive, contrairement à ce que prétend celui-ci, mais, éventuellement, le risque de fuite, alors qu'un tel risque n'a pas été retenu par le Tribunal des mesures de contrainte. Le maintien de F.________ en détention provisoire est ainsi justifié.</w:t>
      </w:r>
    </w:p>
    <w:p>
      <w:r>
        <w:rPr>
          <w:b/>
        </w:rPr>
        <w:t>E. 6.1</w:t>
      </w:r>
    </w:p>
    <w:p>
      <w:r>
        <w:t>Concernant le respect du principe de la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w:t>
      </w:r>
    </w:p>
    <w:p>
      <w:r>
        <w:rPr>
          <w:b/>
        </w:rPr>
        <w:t>E. 6.2</w:t>
      </w:r>
    </w:p>
    <w:p>
      <w:r>
        <w:t>En l’espèce, le prévenu est détenu depuis le 10 mars 2015, soit depuis environ deux mois. Compte tenu des charges qui pèsent sur lui, il s'expose à une peine privative de liberté d’une durée supérieure à celle de la détention provisoire subie à ce jour. Par conséquent, le principe de la proportionnalité est respecté.</w:t>
      </w:r>
    </w:p>
    <w:p>
      <w:r>
        <w:rPr>
          <w:b/>
        </w:rPr>
        <w:t>E. 7</w:t>
      </w:r>
    </w:p>
    <w:p>
      <w:r>
        <w:t>Il résulte de ce qui précède que le recours doit être rejeté. III. Conclusions</w:t>
      </w:r>
    </w:p>
    <w:p>
      <w:r>
        <w:rPr>
          <w:b/>
        </w:rPr>
        <w:t>E. 8</w:t>
      </w:r>
    </w:p>
    <w:p>
      <w:r>
        <w:t>En définitive, la requête de récusation et le recours déposés par F.________ doivent être rejetés et l’ordonnance de refus de libération de la détention provisoire rendue le 23 avril 2015 confirmée. Les frais de la procédure de recours, constitués du seul émolument d’arrêt, par 1'430 fr. (art. 20 al. 1 TFIP [tarif des frais de procédure et indemnités en matière pénale du 28 septembre 2010 ; RSV 312.03.1]), seront mis à la charge du recourant, qui succombe (art. 59 al. 4 et 428 al. 1 CPP). Par ces motifs, la Chambre des recours pénale prononce : I. La demande de récusation est rejetée. II. Le recours est rejeté. III. L'ordonnance du 23 avril 2015 est confirmée. IV. Les frais d'arrêt, par 1'430 fr. (mille quatre cent trente francs), sont mis à la charge de F.________. V. Le présent arrêt est exécutoire. Le président :               Le greffier : Du Le présent arrêt, dont la rédaction a été approuvée à huis clos, est notifié, par l'envoi d'une copie complète, à : - M. Pierre Heinis, avocat (pour F.________), - Ministère public central, et communiqué à : ‑ M. le Procureur du Ministère public central, division criminalité économique et entraide judiciaire, - Mme la Présidente du Tribunal des mesures de contrainte,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