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347 vom 6. Mai 2015</w:t>
      </w:r>
    </w:p>
    <w:p>
      <w:r>
        <w:t>VD Tribunal cantonal, 2015-05-06, FR</w:t>
      </w:r>
    </w:p>
    <w:p>
      <w:r>
        <w:rPr>
          <w:b/>
        </w:rPr>
        <w:t xml:space="preserve">Quelle: </w:t>
      </w:r>
      <w:r>
        <w:t>https://mcp.opencaselaw.ch/entscheid/vd_findinfo_D_cision___2015___347</w:t>
      </w:r>
    </w:p>
    <w:p>
      <w:r>
        <w:t>FR: VD_FINDINFO Décision / 2015 / 347 du 6 mai 2015</w:t>
      </w:r>
    </w:p>
    <w:p>
      <w:r>
        <w:t>IT: VD_FINDINFO Décision / 2015 / 347 del 6 maggio 2015</w:t>
      </w:r>
    </w:p>
    <w:p>
      <w:pPr>
        <w:pStyle w:val="Heading2"/>
      </w:pPr>
      <w:r>
        <w:t>Regeste</w:t>
      </w:r>
    </w:p>
    <w:p>
      <w:r>
        <w:t>RISQUE DE COLLUSION, DÉTENTION PROVISOIRE | 221 al. 1 let. b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(a), qu’il compromette la recherche de la vérité en exerçant une influence sur des personnes ou en altérant des moyens de preuve ("risque de collusion") (b) ou qu’il compromette sérieusement la sécurité d’autrui par des crimes ou des délits graves après avoir déjà commis des infractions du même genre ("risque de réitération") (c).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w:t>
      </w:r>
    </w:p>
    <w:p>
      <w:r>
        <w:rPr>
          <w:b/>
        </w:rPr>
        <w:t>E. 2.3</w:t>
      </w:r>
    </w:p>
    <w:p>
      <w:r>
        <w:t>En l’espèce, G.________, qui a été interpellé à bord de son véhicule ensuite de la mise en place d’un dispositif d’observation, ne conteste à juste titre pas l’existence de soupçons suffisants. Lors de ses auditions, il a admis avoir acquis environ 210 grammes de cocaïne et l’avoir transportée des Pays-Bas à Chardonne. C’est également lui qui a indiqué à la police où trouver la marchandise. Il a également expliqué qu’une partie de cette drogue à tout le moins était destinée à des connaissances. La condition de l’existence de soupçons suffisants est ainsi pleinement réalisée.</w:t>
      </w:r>
    </w:p>
    <w:p>
      <w:r>
        <w:rPr>
          <w:b/>
        </w:rPr>
        <w:t>E. 3.1</w:t>
      </w:r>
    </w:p>
    <w:p>
      <w:r>
        <w:t>Le recourant conteste le risque de collusion invoqué par le Ministère public et retenu par le Tribunal des mesures de contrainte.</w:t>
      </w:r>
    </w:p>
    <w:p>
      <w:r>
        <w:rPr>
          <w:b/>
        </w:rPr>
        <w:t>E. 3.2</w:t>
      </w:r>
    </w:p>
    <w:p>
      <w:r>
        <w:t>Il convient au préalable de rappeler que le Tribunal des mesures de contrainte examine librement, en fait et en droit, dans le cadre d’une demande de prolongation, si les conditions de la détention provisoire persistent au moment où il rend sa décision. Il dispose à cet égard d’un pouvoir de cognition complet (Logos, in: Kuhn/Jeanneret (éd.), Commentaire romand, Code de procédure pénale suisse, Bâle 2011, n. 32 ad art. 227 CPP et l’arrêt cité). Il n’est dès lors pas lié par les motifs retenus dans le cadre des ses décisions précédentes et cela même si le dossier ne comporte pas d’éléments nouveaux. Il en va de même de la cour de céans qui examine la cause librement en fait et en droit (art. 393 al. 2 CPP) (CREP 21 mai 2014/353). On ne saurait ainsi suivre le recourant lorsqu’il soutient que la demande de prolongation doit être rejetée au motif que le procureur ne ferait pas valoir de motifs nouveaux.</w:t>
      </w:r>
    </w:p>
    <w:p>
      <w:r>
        <w:rPr>
          <w:b/>
        </w:rPr>
        <w:t>E. 3.3</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op. cit., n. 14 et 15 ad art. 221 CPP; cf. ATF 137 IV 122 c. 6.2 et 6.4) – vise à garantir la constatation exacte et complète des faits. On ne saurait toutefois se contenter d’un risque de collusion abstrait, car ce risque est inhérent à toute procédure pénale en cours et doit, pour permettre à lui seul le maintien en détention provisoire,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 TF 1B_55/2010 du 11 mars 2010 c. 3.1 et les références citées).</w:t>
      </w:r>
    </w:p>
    <w:p>
      <w:r>
        <w:rPr>
          <w:b/>
        </w:rPr>
        <w:t>E. 3.4</w:t>
      </w:r>
    </w:p>
    <w:p>
      <w:r>
        <w:t>En l’espèce, on rappellera que le nom du recourant est apparu dans le cadre des écoutes téléphoniques effectuées lors de l’instruction ouverte contre inconnu et [...] et [...] pour infraction grave à la Loi fédérale sur les stupéfiants (PV des opérations du 24.11.2014, p. 2; PV des opérations du 01.12.2014, p. 3; PV des opérations du 05.02.2015, p. 17). Il existe donc bien un lien entre le recourant et le trafic auquel ces deux personnes et leurs comparses se seraient livrés. Cinq individus concernés par ce trafic, dont [...] et [...], sont désormais détenus. Comme le relève le procureur, il s’agit maintenant de procéder aux mesures d’instruction nécessaires à établir le degré d’implication du recourant dans le trafic de stupéfiants mis à jour, notamment par l’analyse des contrôles téléphoniques ordonnés ainsi que par le contrôle des nombreux téléphones cellulaires dernièrement saisis. A cela s’ajoute, comme la cour de céans l’a relevé dans son précédent arrêt, que plusieurs autres analyses doivent également s’effectuer sur les téléphones cellulaires et des cartes SIM saisis chez le recourant afin de déterminer l’ampleur et la nature de ses contacts avec les autres prévenus ou des toxicomanes connus des services de police. Lorsque ces analyses auront pu être effectuées, et en fonction du résultat de ces investigations, il s’agira, le cas échéant, de procéder aux auditions de confrontation nécessaires. Dans l’intervalle, il convient de maintenir G.________ en détention afin qu’il ne tente pas d’influencer d’éventuels clients ou complices non encore identifiés qui pourraient détruire des preuves.</w:t>
      </w:r>
    </w:p>
    <w:p>
      <w:r>
        <w:rPr>
          <w:b/>
        </w:rPr>
        <w:t>E. 3.5</w:t>
      </w:r>
    </w:p>
    <w:p>
      <w:r>
        <w:t>Au vu de ce qui précède, le risque de collusion justifie le maintien en détention provisoire du recourant. En outre, aucune mesure de substitution ne saurait éliminer ce risque. Les conditions de la détention provisoire étant alternatives, la question d’un éventuel risque de fuite ou de réitération peut rester indécise, dès lors que la détention provisoire est justifiée par le risque de collusion.</w:t>
      </w:r>
    </w:p>
    <w:p>
      <w:r>
        <w:rPr>
          <w:b/>
        </w:rPr>
        <w:t>E. 4.1</w:t>
      </w:r>
    </w:p>
    <w:p>
      <w:r>
        <w:t>Concernant le respect du principe de la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G.________ est détenu depuis le 26 mars 2015, soit depuis moins de deux mois. La durée de la détention provisoire, même prolongée de trois mois, demeure proportionnée, compte tenu des opérations d’instruction mises en œuvre, des faits reprochés au prévenu et de la peine encoure. Le principe de la proportionnalité demeure donc respecté.</w:t>
      </w:r>
    </w:p>
    <w:p>
      <w:r>
        <w:rPr>
          <w:b/>
        </w:rPr>
        <w:t>E. 5</w:t>
      </w:r>
    </w:p>
    <w:p>
      <w:r>
        <w:t>En définitive, le recours, manifestement mal fondé, doit être rejeté sans autre échange d’écritures (art. 390 al. 2 CPP) et l'ordonnance du 21 avril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du recourant (art. 422 al. 1 et 2 let. a CPP), fixés à 630 fr. plus la TVA par 51 fr. 20, soit 681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21 avril 2015 est confirmée. III. L’indemnité allouée au défenseur d’office de G.________ est fixée à 681 fr. 20 (six cent huitante et un francs et vingt centimes). IV. Les frais d’arrêt, par 880 fr. (huit cent huitante francs), ainsi que l’indemnité due au défenseur d’office de G.________, par 681 fr. 20 (six cent huitante et un francs et vingt centimes), sont mis à la charge de ce dernier. V. Le remboursement à l’Etat de l’indemnité allouée au chiffre III ci-dessus ne sera exigible que pour autant que la situation économique de G.________ se soit améliorée. VI. Le présent arrêt est exécutoire. Le président :               La greffière : Du Le présent arrêt, dont la rédaction a été approuvée à huis clos, est notifié, par l'envoi d'une copie complète, à : - M. Vincent Demierre, avocat (pour G.________), - Ministère public central, et communiqué à : - M. le Procureur de l’arrondissement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