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344 vom 6. Mai 2015</w:t>
      </w:r>
    </w:p>
    <w:p>
      <w:r>
        <w:t>VD Tribunal cantonal, 2015-05-06, FR</w:t>
      </w:r>
    </w:p>
    <w:p>
      <w:r>
        <w:rPr>
          <w:b/>
        </w:rPr>
        <w:t xml:space="preserve">Quelle: </w:t>
      </w:r>
      <w:r>
        <w:t>https://mcp.opencaselaw.ch/entscheid/vd_findinfo_D_cision___2015___344</w:t>
      </w:r>
    </w:p>
    <w:p>
      <w:r>
        <w:t>FR: VD_FINDINFO Décision / 2015 / 344 du 6 mai 2015</w:t>
      </w:r>
    </w:p>
    <w:p>
      <w:r>
        <w:t>IT: VD_FINDINFO Décision / 2015 / 344 del 6 maggio 2015</w:t>
      </w:r>
    </w:p>
    <w:p>
      <w:pPr>
        <w:pStyle w:val="Heading2"/>
      </w:pPr>
      <w:r>
        <w:t>Regeste</w:t>
      </w:r>
    </w:p>
    <w:p>
      <w:r>
        <w:t>DÉTENTION PROVISOIRE, RISQUE DE RÉCIDIVE, MESURE DE SUBSTITUTION À LA DÉTENTION | 221 al. 1 let. c CPP (CH), 237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La mise en détention provisoire n’est ainsi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En l'espèce, A.F.________ a admis l'essentiel des faits qui lui sont reprochés, de sorte qu'il existe des présomptions de culpabilité suffisantes à son encontre.</w:t>
      </w:r>
    </w:p>
    <w:p>
      <w:r>
        <w:rPr>
          <w:b/>
        </w:rPr>
        <w:t>E. 2.2</w:t>
      </w:r>
    </w:p>
    <w:p>
      <w:r>
        <w:t>L'ordonnance attaquée se fonde sur le risque de réitération (art. 221 al. 1 let. c CPP) pour justifier le maintien de A.F.________ en détention provisoire. Le recourant ne conteste pas ce risque mais soutient que des mesures de substitution, soit une interdiction de voir et de prendre contact avec sa petite-fille et une obligation de poursuivre son traitement psychiatrique auprès du Prof. D.________, seraient propres à parer ce risque.</w:t>
      </w:r>
    </w:p>
    <w:p>
      <w:r>
        <w:rPr>
          <w:b/>
        </w:rPr>
        <w:t>E. 2.2.1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w:t>
      </w:r>
    </w:p>
    <w:p>
      <w:r>
        <w:rPr>
          <w:b/>
        </w:rPr>
        <w:t>E. 2.2.2</w:t>
      </w:r>
    </w:p>
    <w:p>
      <w:r>
        <w:t>Dans le cadre de l'enquête, A.F.________ a été soumis à une expertise psychiatrique. Les Drs P.________ et V.________, de l'Institut de Psychiatrie légale du CHUV, ont rendu leur rapport le 24 février 2015. Ils ont posé le diagnostic de pédophilie (F. 65.4) et ont estimé que le risque de récidive était élevé au cas où l'expertisé se retrouverait dans la même situation, les actes commis l'ayant été de manière répétée, actuellement avec sa petite-fille mais également par le passé avec sa fille. Aux yeux des experts, il est ainsi apparu essentiel que A.F.________ ne puisse plus à l'avenir se retrouver dans une situation où il serait seul avec sa petite-fille. En revanche, le risque d'un passage à l'acte en dehors de la famille leur paraissait faible, bien qu'il ne puisse être exclu, dès lors que les actes pédophiles qui étaient reprochés au prévenu n'avaient, à leur connaissance, jamais débordé du cadre familial (cf. P. 55, pp. 8 et 9). Comme l'a retenu le Tribunal des mesures de contrainte, le risque de récidive est avéré, celui-ci ayant été confirmé par l'expertise psychiatrique à laquelle le prévenu a été soumis dans le cadre de l'enquête pénale. Il n'est d'ailleurs pas contesté par le prévenu lui-même.</w:t>
      </w:r>
    </w:p>
    <w:p>
      <w:r>
        <w:rPr>
          <w:b/>
        </w:rPr>
        <w:t>E. 2.2.3</w:t>
      </w:r>
    </w:p>
    <w:p>
      <w:r>
        <w:t>Ce risque de récidive ne suffit toutefois pas à justifier le refus de la libération provisoire du prévenu s'il s'avère que, sous l'angle de la proportionnalité (art. 212 al. 2 let. c CPP), des mesures de substitution sont propres à pallier un tel risque. A cet égard, le recourant prétend qu'il serait suffisant de lui interdire tout contact avec sa petite-fille et de lui imposer la poursuite de son traitement psychiatrique avec le Prof. D.________. Il sollicite donc sa remise en liberté immédiate à ces conditions.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Petit commentaire du Code de procédure pénale,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Ces mesures sont l'émanation directe du principe de la proportionnalité, consacré par l'art. 197 al. 1 let. c CPP, en vertu duquel le maintien en détention pour les besoins de l'instruction représente l' ultima ratio . En l'occurrence, le trouble que présente A.F.________ a été qualifié de grave par les experts, l'intéressé étant au demeurant susceptible de commettre de nouvelles infractions du même type, en particulier s'il se retrouvait seul avec sa petite-fille. Le prévenu est actuellement pris en charge par le SMPP, à raison de deux entretiens psychiatriques par mois auprès du Prof. D.________ et d'un entretien infirmier hebdomadaire. Un tel suivi correspond au traitement préconisé par les experts. Ces médecins ont toutefois souligné les graves distorsions relationnelles de l'expertisé et sa tendance à aménager la réalité à sa guise, de sorte qu'à leurs yeux, les chances de succès du traitement dépendront de la capacité de l'intéressé de progressivement s'accepter vraiment comme malade, ce qui pourrait être un travail de longue haleine (P. 55, ch. 4). Interpellé par le procureur sur le point de savoir si les conditions étaient actuellement réunies pour mener à bien un traitement centré sur la problématique de la pédophilie, le Prof. D.________ a indiqué ne pas être en mesure de répondre à cette question, laquelle était du ressort d'un médecin expert et non de celui du médecin traitant (P. 67). Dans ces circonstances, les mesures de substitution proposées par le prévenu ne sont pas de nature à pallier l'important risque de réitération existant dans la sphère intrafamiliale. La tendance du prévenu à la distorsion relationnelle et au renversement des rôles, la non-reconnaissance du diagnostic – éléments qui résultent de l'expertise psychiatrique – et le contexte familial particulier dans lequel se sont déroulés les faits suscitent en effet des inquiétudes quant au respect de l'interdiction de contact envisagée. A cet égard, le fait que le recourant ait abusé de sa propre fille, durant de nombreuses années, la banalisation de ses agissements et la forme de soutien dont il dit bénéficier auprès de ses proches (cf. not. PV aud. TMC du 14 avril 2015, p. 3) conduisent à constater qu'on n'a pas toutes les garanties nécessaires au regard de la protection indispensable à accorder à la victime. En l'absence de mesures de substitution suffisantes pour prévenir le risque de réitération, il n'apparaît pas possible de mettre fin en l'état à la détention provisoire de A.F.________. Une prolongation de deux mois, telle que requise par le Ministère public, s'avère donc justifiée. La durée de cette prolongation apparaît proportionnée à la peine susceptible d'être infligée au recourant en cas de condamnation pour les faits qui lui sont reprochés dans la présente cause.</w:t>
      </w:r>
    </w:p>
    <w:p>
      <w:r>
        <w:rPr>
          <w:b/>
        </w:rPr>
        <w:t>E. 3</w:t>
      </w:r>
    </w:p>
    <w:p>
      <w:r>
        <w:t>En définitive, le recours, mal fondé, doit être rejeté et l'ordonnance du 14 avril 2015 confirmée. Les frais de la procédure de recours, constitués en l'espèce de l'émolument d’arrêt, par 990 fr. (art. 20 al. 1 TFIP  [tarif des frais de procédure et indemnités en matière pénale du 28 septembre 2010 ; RSV 312.03.1]), ainsi que des frais imputables à la défense d'office (art. 422 al. 1 et 2 let. a CPP), fixés à 630 fr., plus la TVA, par 50 fr. 40, soit un total de 680 fr. 40, seront supportés par le recourant, qui succombe (art. 428 al. 1 CPP). Le remboursement à l'Etat de l'indemnité allouée au défenseur d'office de A.F.________ ne sera toutefois exigible que pour autant que la situation économique de ce dernier se soit améliorée (art. 135 al. 4 CPP). Par ces motifs, la Chambre des recours pénale prononce : I. Le recours est rejeté. II. L'ordonnance du 14 avril 2015 est confirmée. III. Une indemnité d'un montant de 680 fr. 40 (six cent huitante francs et quarante centimes) est allouée au défenseur d'office de A.F.________. IV . Les frais d'arrêt, par 990 fr. (neuf cent nonante francs), ainsi que l'indemnité allouée au défenseur d'office de A.F.________, par 680 fr. 40, sont mis à la charge de ce dernier. V. Le remboursement à l'Etat de l'indemnité allouée au chiffre III ci-dessus sera exigible pour autant que la situation économique de A.F.________ se soit améliorée. VI. Le présent arrêt est exécutoire. Le président :               La greffière : Du Le présent arrêt, dont la rédaction a été approuvée à huis clos, est notifié, par l'envoi d'une copie complète, à : - Mme Annik Nicod, avocate (pour A.F.________), - Mme Miriam Mazou, avocate (pour C.F.________ et B.F.________), - Ministère public central, et communiqué à : - Mme la Présidente du Tribunal des mesures de contrainte, - M. le Procureur de l'arrondissement du Nord vaudois,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