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341 vom 22. April 2015</w:t>
      </w:r>
    </w:p>
    <w:p>
      <w:r>
        <w:t>VD Tribunal cantonal, 2015-04-22, FR</w:t>
      </w:r>
    </w:p>
    <w:p>
      <w:r>
        <w:rPr>
          <w:b/>
        </w:rPr>
        <w:t xml:space="preserve">Quelle: </w:t>
      </w:r>
      <w:r>
        <w:t>https://mcp.opencaselaw.ch/entscheid/vd_findinfo_D_cision___2015___341</w:t>
      </w:r>
    </w:p>
    <w:p>
      <w:r>
        <w:t>FR: VD_FINDINFO Décision / 2015 / 341 du 22 avril 2015</w:t>
      </w:r>
    </w:p>
    <w:p>
      <w:r>
        <w:t>IT: VD_FINDINFO Décision / 2015 / 341 del 22 aprile 2015</w:t>
      </w:r>
    </w:p>
    <w:p>
      <w:pPr>
        <w:pStyle w:val="Heading2"/>
      </w:pPr>
      <w:r>
        <w:t>Regeste</w:t>
      </w:r>
    </w:p>
    <w:p>
      <w:r>
        <w:t>CLASSEMENT DE LA PROCÉDURE, SOUPÇON, SUSPENSION DE LA PROCÉDURE, LOI FÉDÉRALE SUR LES BANQUES ET LES CAISSES D'ÉPARGNE | 47 LB, 314 al. 1 let. a CPP (CH),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Il en va de même s'agissant d'une ordonnance de suspension rendue par le ministère public en application de l'art. 314 CPP (cf. art. 314 al. 5 CPP, lequel renvoie aux art. 320 ss CPP; CREP 18 mars 2015/198 c. 1; CREP 30 juin 2011/271 c. 1). Interjeté dans le délai légal (art. 322 al. 2 CPP et art. 396 al. 1 CPP) par la partie plaignante, qui a qualité pour recourir (art. 382 al. 1 CPP),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Selon l'art. 314 al. 1 let. a CPP, le ministère public peut suspendre une instruction notamment lorsque l'auteur ou son lieu de séjour est inconnu ou qu'il existe des empêchements momentanés de procéder. Aux termes de l’art. 314 al. 3 CPP, avant de décider la suspension, le ministère public administre les preuves dont il est à craindre qu'elles disparaissent; lorsque l'auteur ou son lieu de séjour est inconnu, il met en oeuvre les recherches. Avant de suspendre, le Ministère public doit procéder à tous les actes d’enquête qui pourraient amener à l’identification de l’auteur (Cornu, in : Kuhn/Jeanneret [éd.], Commentaire romand, Code de procédure pénale suisse, Bâle 2011, n. 5 ad art. 314 CPP). Il convient de procéder dans la mesure du raisonnable à l’administration des preuves utiles et disponibles sans attendre indéfiniment alors qu’aucun obstacle ne s’oppose à l’administration de la preuve. On pensera notamment à l’audition des témoins (Moreillon/Parein-Reymond, Petit Commentaire du Code de procédure pénale, Bâle 2013, n. 22 ad art. 314 CPP; Cornu, op. cit., n. 21 ad art. 314 CPP; CREP 6 octobre 2014/731 c. 2.1).</w:t>
      </w:r>
    </w:p>
    <w:p>
      <w:r>
        <w:rPr>
          <w:b/>
        </w:rPr>
        <w:t>E. 2.3</w:t>
      </w:r>
    </w:p>
    <w:p>
      <w:r>
        <w:t>En l'espèce, la recourante n'a pas requis la mise en œuvre de nouvelles mesures d'instruction (cf. P. 22). Elle soutient que sur la base des éléments au dossier, l'application du principe « in dubio pro duriore » aurait dû conduire le Ministère public à engager l'accusation contre B.S.________ et K.________. La recourante se prévaut principalement de déclarations de B.S.________ contenues dans un courrier électronique que celui-ci a adressé à son avocate d'alors le 29 janvier 2013. B.S.________ a écrit ce qui suit : "A.S.________ a bénéficié d'une augmentation de salaire cette année. Elle a vu son compte Banque G.________ crédité de CHF 4'559.-. Nous ne pouvons pas communiquer cette information que nous ne sommes pas supposés connaître". Il est vrai que dans la mesure où le nouveau salaire en question a semble-t-il été versé pour la première fois le 25 janvier 2013, les propos que comporte ce courrier électronique font naître des soupçons quant à l'origine de l'information transmise par B.S.________. Ils n'établissent cependant pas que ce dernier aurait lui-même commis une infraction ou en aurait été l'instigateur. Les seuls autres éléments concrets mis en avant par la recourante sont le fait que K.________, sœur de B.S.________, travaille auprès de l'établissement bancaire Banque G.________ et le fait qu'il soit par le passé arrivé que B.S.________, avec l'accord de la recourante, demande à sa sœur de communiquer aux époux des renseignements concernant leur relation bancaire auprès de cette banque (cf. P. 5/2/2 et PV aud. 2, lignes 27 à 30). Or ces éléments ne renforcent pas les soupçons à l'encontre des intéressés et sont en tous les cas insuffisants pour fonder une mise en accusation; il est en effet manifeste que les chances d'un acquittement seraient alors largement plus élevées que celles d'une condamnation.</w:t>
      </w:r>
    </w:p>
    <w:p>
      <w:r>
        <w:rPr>
          <w:b/>
        </w:rPr>
        <w:t>E. 2.4</w:t>
      </w:r>
    </w:p>
    <w:p>
      <w:r>
        <w:t>Cela étant, le Ministère public a choisi d'ordonner simultanément le classement de la procédure pénale et la suspension de celle-ci. Une telle façon de faire n'est pas possible, à tout le moins lorsque, comme en l'espèce, l'instruction pénale a toujours été ouverte contre inconnu et non contre des personnes déterminées. Compte tenu du fait qu'il existe bien des éléments donnant à penser qu'une infraction a été commise, mais qu'aucune mesure d'instruction ne paraît en l'état susceptible d'éclaircir les circonstances de celle-ci, ni, en particulier, de déterminer son auteur, la suspension apparaît plus opportune que le classement; il est en effet possible que des éléments permettant de reprendre l'instruction apparaissent à moyen terme, de sorte qu'une clôture immédiate de celle-ci ne se justifie pas (sur ces questions, cf. Moreillon/Parein-Reymond, op. cit., n. 2 et 4 ad art. 314 CPP). Il y a par conséquent lieu de réformer d'office l'ordonnance attaquée sur ce point, étant rappelé que lorsqu'elle rend sa décision, l'autorité de recours n'est liée ni par les motifs invoqués par les parties (art. 391 al. 1 let. a CPP) ni par les conclusions de celles-ci, sauf lorsqu'elle statue sur une action civile (let. b).</w:t>
      </w:r>
    </w:p>
    <w:p>
      <w:r>
        <w:rPr>
          <w:b/>
        </w:rPr>
        <w:t>E. 3</w:t>
      </w:r>
    </w:p>
    <w:p>
      <w:r>
        <w:t>En définitive, le recours doit être rejeté sans autre échange d’écritures (art. 390 al. 2 CPP). L'ordonnance attaquée doit toutefois être réformée d'office dans le sens des considérants qui précèdent (cf. c. 2.4 supra). Les frais de la procédure de recours, constitués en l'espèce uniquement de l’émolument d’arrêt (art. 422 al. 1 CPP),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13 janvier 2015 est réformée d'office en ce sens que la procédure pénale dirigée contre inconnu pour infraction à la loi fédérale du 8 novembre 1934 sur les banques et les caisses d'épargne n'est pas classée, mais suspendue pour une durée indéterminée, les investigations se poursuivant par ailleurs. III. Les frais de la procédure de recours, par 660 fr. (six cent soixante francs), sont mis à la charge de A.S.________. IV. Le présent arrêt est exécutoire. Le président :               Le greffier : Du Le présent arrêt, dont la rédaction a été approuvée à huis clos, est notifié, par l'envoi d'une copie complète, à : - M. Robert Lei Ravello, avocat (pour A.S.________),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