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336 vom 19. März 2014</w:t>
      </w:r>
    </w:p>
    <w:p>
      <w:r>
        <w:t>VD Tribunal cantonal, 2014-03-19, FR</w:t>
      </w:r>
    </w:p>
    <w:p>
      <w:r>
        <w:rPr>
          <w:b/>
        </w:rPr>
        <w:t xml:space="preserve">Quelle: </w:t>
      </w:r>
      <w:r>
        <w:t>https://mcp.opencaselaw.ch/entscheid/vd_findinfo_D_cision___2015___336</w:t>
      </w:r>
    </w:p>
    <w:p>
      <w:r>
        <w:t>FR: VD_FINDINFO Décision / 2015 / 336 du 19 mars 2014</w:t>
      </w:r>
    </w:p>
    <w:p>
      <w:r>
        <w:t>IT: VD_FINDINFO Décision / 2015 / 336 del 19 marzo 2014</w:t>
      </w:r>
    </w:p>
    <w:p>
      <w:pPr>
        <w:pStyle w:val="Heading2"/>
      </w:pPr>
      <w:r>
        <w:t>Regeste</w:t>
      </w:r>
    </w:p>
    <w:p>
      <w:r>
        <w:t>DROIT DE LA FONCTION PUBLIQUE, CLASSE DE TRAITEMENT, EMPLOYÉ PUBLIC, SALAIRE, POUVOIR D'APPRÉCIATION, INTERDICTION DE L'ARBITRAIRE, ÉGALITÉ DE TRAITEMENT | 8 al. 1 Cst., 9 Cst., 19 al. 1 LPers-VD, 6 DecFo, 7 DecFo</w:t>
      </w:r>
    </w:p>
    <w:p>
      <w:pPr>
        <w:pStyle w:val="Heading2"/>
      </w:pPr>
      <w:r>
        <w:t>Erwägungen</w:t>
      </w:r>
    </w:p>
    <w:p>
      <w:r>
        <w:rPr>
          <w:b/>
        </w:rPr>
        <w:t>E. 6</w:t>
      </w:r>
    </w:p>
    <w:p>
      <w:r>
        <w:t>correspondent à celles effectuées par l’intimée, qui ne mériterait donc pas le niveau 7. Il souligne également que la Commission aurait, à tort, retenu qu’au vu des comparaisons effectuées, la collocation du poste de l’intimée n’était pas justifiée et que le poste de cette dernière mériterait le niveau 7. Le recourant produit, à titre de comparaison, des postes semblables à ceux déjà soumis à l’autorité inférieure (pièces 11, 13, 14 et 15 produites par le recourant). Ceux-ci sont en effet tous des cahiers des charges d’ « assistants en gestion comptable », colloqués au niveau 6, respectivement au niveau 7. Il expose que par rapport au poste colloqué au niveau 6, l’intimée a des responsabilités et une marge de manœuvre similaires. Une collocation de poste de l’intimée au niveau supérieur serait, selon le recourant, manifestement choquante et contraire au principe de l’égalité de traitement. Traitant déjà de l’existence d’une éventuelle inégalité de traitement dans sa décision, la Commission a comparé le poste de l’intimée avec d’autres postes au sein de l’ACV afin de déterminer si la collocation au niveau 7 était justifiée. Les postes comparés par la Commission sont celui de « secrétaire d’une unité décentralisée » colloqué au niveau 5 de la chaîne 345 (pièce n°</w:t>
      </w:r>
    </w:p>
    <w:p>
      <w:r>
        <w:rPr>
          <w:b/>
        </w:rPr>
        <w:t>E. 8</w:t>
      </w:r>
    </w:p>
    <w:p>
      <w:r>
        <w:t>intimée), celui d’ « assistant en gestion comptable » travaillant au SPJ au sein du DFJC et colloqué au niveau 6 de la chaîne 347 (pièce n° 10 intimée) et celui d’ « assistant en gestion comptable » travaillant au SIPAL, colloqué au niveau 7 de la chaîne 347 (pièce n° 11 intimée ). b) Selon la jurisprudence, une décision viole le principe de l'égalité consacré à l'article 8 al. 1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 3. 2) et admet qu'un système de rémunération présente nécessairement un certain schématisme (ATF 121 I 102, c. 4). c) En l’espèce, après une comparaison soigneuse des activités et cahiers des charges des trois postes précités ( cf . supra consid. IV a) ) avec celui occupé par l’intimée, la Commission est arrivée à la conclusion que la cohérence interne à l’ACV ainsi que le principe d’égalité de traitement étaient respectés, les postes comparés ayant été colloqués sur la base de motifs objectifs. La comparaison avec les cahiers des charges nouvellement produits par le recourant ne modifie pas cette appréciation. En particulier, la comparaison avec le poste n° 11920 au sein du SESAF, DFJC, colloqué au niveau 6, chaîne 347 (pièce 13), permet de constater que son titulaire a moins de responsabilités que l’intimée. Il est vrai que ces deux postes se ressemblent ; cependant, l’intimée a tout de même des tâches concernant la formation des apprentis et l’élaboration du budget, contrairement à la personne titulaire du poste n° 11920 qui ne fait que participer à l’élaboration du budget. L’activité déployée par l’intimée justifie donc un niveau plus élevé que celui de ce poste. Les mêmes constatations résultent lors des comparaisons faites avec les postes n°4096, 12129 et 15165. Le recourant explique que le poste de l’intimée et le poste n° 4096 ne sont pas similaires, faisant état du fait que le poste n° 4096, colloqué en classe 7, demande un savoir-faire et une autonomie supérieurs. Le Tribunal constate que les activités liées au poste comparé requièrent des compétences de gestion équivalentes au poste de l’intimée. L’activité de l’intimée comprend des tâches nécessaire à la gestion comptable de l’entier du CEPM. Il sied d’ajouter que, comme le témoin Q.________ est venu le confirmer à l’audience, l’intimée et cette dernière étaient toutes deux colloquées en classe 15-18 avant la bascule et qu’après la bascule, l’intimée a été colloquée au niveau 6 alors que sa collègue se trouve au niveau 7. Dans le cas particulier, la Commission a examiné les cahiers des charges qui lui semblaient utiles à l’examen du recours dont elle était saisie, et écarté d’autres moyens de preuve par une appréciation anticipée de ceux-ci. Ce mode de faire n’est pas critiquable. Quoi qu’il en soit, le grief d’inégalité de traitement est inconsistant dès lors que l’examen des cahiers des charges produits à titre comparatif par le recourant conduit au maintien de la décision entreprise. Au vu de ce qui précède, le Tribunal observe qu’une violation de l’égalité de traitement par la Commission n’est pas constatée, puisqu’elle a opéré une comparaison en se basant sur une situation précise, soit celle de l’intimée. Il n’est ainsi pas choquant que l’intimée soit colloquée à un niveau supérieur à des collaborateurs n’ayant pas les mêmes activités qu’elle, soit au niveau 7 de la chaîne 347. En définitive, le recourant ne saurait se prévaloir d’une inégalité de traitement, dans la mesure où des situations semblables ont été traitées de manière semblable et des situations différentes de manière différente. Partant, ce grief doit également être écarté. A la lumière de ces considérations, le recours doit être rejeté. Le Tribunal de céans confirme la décision rendue le 19 mars 2014 par la Commission. VI. a) L’article 6 DecFo renvoie à la procédure administrative, notamment en cas de recours (al. 7). Selon l’article 55 LPA-VD, 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 Les frais de seconde instance sont arrêtés à Fr. 500.- et mis à la charge du recourant (art. 47 al. 2, 49 al. 1 LPA-VD, art. 4 al. 3 du tarif des frais judiciaires en matière de droit administratif et public du 11 décembre 2007; RSV 173.36.5.1). L’intimée, qui a recouru aux services d’un avocat, a droit à des dépens, soit CHF 2’000.- à titre de participation aux honoraires et débours de son conseil. Ils seront mis à la charge du recourant (art. 55 LPA-VD). Contrairement à ce que le texte de l’art. 55 LPA-VD laisse entendre, l’octroi de dépens ne couvre pas l’intégralité des frais engagés par la partie qui obtient gain de cause pour défendre ses intérêts. Il s’agit d’une participation à ses frais. Ceux-ci peuvent être plus ou moins importants selon le type de projet, la valeur de celui-ci et la complexité de la procédure. C’est en tenant compte de ces paramètres que l’indemnité allouée à titre de dépens doit être définie (Bovey et all ., op. cit., n. 1 ad art. 55). En l’espèce, le conseil de l’intimée n’a pas produit de liste d’opérations. Au vu du fait que les dépens ne couvrent pas l’intégralité des honoraires et en équité, les dépens en faveur de l’intimée seront fixés à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