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333 vom 14. September 2012</w:t>
      </w:r>
    </w:p>
    <w:p>
      <w:r>
        <w:t>VD Tribunal cantonal, 2012-09-14, FR</w:t>
      </w:r>
    </w:p>
    <w:p>
      <w:r>
        <w:rPr>
          <w:b/>
        </w:rPr>
        <w:t xml:space="preserve">Quelle: </w:t>
      </w:r>
      <w:r>
        <w:t>https://mcp.opencaselaw.ch/entscheid/vd_findinfo_D_cision___2015___333</w:t>
      </w:r>
    </w:p>
    <w:p>
      <w:r>
        <w:t>FR: VD_FINDINFO Décision / 2015 / 333 du 14 septembre 2012</w:t>
      </w:r>
    </w:p>
    <w:p>
      <w:r>
        <w:t>IT: VD_FINDINFO Décision / 2015 / 333 del 14 settembre 2012</w:t>
      </w:r>
    </w:p>
    <w:p>
      <w:pPr>
        <w:pStyle w:val="Heading2"/>
      </w:pPr>
      <w:r>
        <w:t>Regeste</w:t>
      </w:r>
    </w:p>
    <w:p>
      <w:r>
        <w:t>DROIT DE LA FONCTION PUBLIQUE, CLASSE DE TRAITEMENT, EMPLOYÉ PUBLIC, SALAIRE, DROIT D'ÊTRE ENTENDU, ÉGALITÉ DE TRAITEMENT, INTERDICTION DE L'ARBITRAIRE | 29 al. 2 Cst., 8 Cst., 9 Cst., 19 al. 1 LPers-VD, 76 LPA-VD, 6 DecFo, 7 DecFo, 3 ANPS</w:t>
      </w:r>
    </w:p>
    <w:p>
      <w:pPr>
        <w:pStyle w:val="Heading2"/>
      </w:pPr>
      <w:r>
        <w:t>Erwägungen</w:t>
      </w:r>
    </w:p>
    <w:p>
      <w:r>
        <w:rPr>
          <w:b/>
        </w:rPr>
        <w:t>E. 15</w:t>
      </w:r>
    </w:p>
    <w:p>
      <w:r>
        <w:t>Le Tribunal se rallie sur ce point au raisonnement suivi par la Commission, dont le résultat n’est certainement pas insoutenable et ne choque pas le sentiment de la justice. Le moyen reposant sur l’arbitraire doit donc être rejeté. IV. a) Le recourant allègue une violation de son droit d'être entendu dans son aspect relatif au droit de participer à l’administration des preuves puisque la Commission aurait, dans sa décision, rejeté à tort les mesures d’instruction requises, en particulier s’agissant de la production des pièces concernant les postes permettant une comparaison avec le poste occupé par le recourant tant au sein du J.________ qu’au sein de l’administration cantonale vaudoise. b) L'article 29 alinéa 2 Cst. indique que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c) En l'espèce, le recourant ne saurait se prévaloir d'une violation de son droit d'être entendu. En effet, le cahier des charges dont la production avait été requise n’était pas pertinent, en ce sens qu’un seul cahier des charges n’aurait en tous les cas pas permis d’évaluer le niveau de collocation auquel le recourant aurait droit. En effet, seule une comparaison avec plusieurs postes est susceptible d’informer quant à une adéquation de collocation. Un seul cahier des charges ne pouvait suffire à fonder une conviction à ce sujet. De surcroît, même si l'on considérait qu'il pouvait se prévaloir de celui-ci et que l'intimé ne l'avait pas respecté dans un premier temps, le fait que le tribunal de céans – qui jouit d'un plein pouvoir d'examen en fait et en droit –  ait instruit et jugé cette cause et que, par conséquent, il ait donné la parole au recourant pour se déterminer, aurait permis de corriger toute violation éventuelle de son droit d'être entendu. Partant, ce grief doit être rejeté. V. a) Le recourant reproche encore à la Commission d’avoir considéré que le poste du recourant correspondait aux exigences du descriptif des fonctions du niveau 15 et non du niveau 16. Sa collocation aurait donc été attribuée de façon erronée et arbitraire. b) Selon l’article 3 de l’Arrêté relatif à la mise en œuvre de la politique salariale de l’Etat de Vaud (ANPS), la transition des fonctions de l’ancien au nouveau système peut être directe, semi-directe ou indirecte : « a. […], b. […],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Selon la nouvelle politique salariale du système de classification des fonctions au système de rémunération (p. 47), une transition indirecte est un cas qui s’explique par le fait que la ou les fonctions de départ ne renvoient pas automatiquement à un seul emploi-type. Et les emplois-types qui leur sont attribuables a priori peuvent se décliner en plusieurs niveaux de fonction. La lecture des cahiers des charges des postes concernés est doublement nécessaire : pour déterminer d’abord le bon emploi-type, et pour ensuite choisir le bon niveau de fonction. En résumé, la bascule d’un poste a consisté, dans un premier temps et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 a permis de déterminer le niveau a priori adéquat. La collocation du poste ainsi obtenue a ensuite été soumise à la validation du Conseil d’Etat (p. 51). c) En l’occurrence, le recourant ne contestant pas son emploi-type ni la chaîne qui lui avait été attribuée, la Commission a comparé le cahier des charges du recourant avec les critères posés pour le niveau 16 de la chaîne 371. S’agissant des compétences professionnelles, la Commission souligne de façon exacte que les exigences sont identiques pour les niveaux 15 et 16 et que le recourant peut donc être colloqué indifféremment dans les deux niveaux. Quant aux compétences personnelles, les répercussions des décisions prises sont « assez fortes » pour le niveau 15 et « très fortes » pour le niveau 16. Or, comme l’a relevé le témoin P.________, les décisions prises par un directeur administratif ont des répercussions sur un, voire deux départements, et ce dans le cadre de projets très spécifiques. De plus, un directeur ne peut pas engager à lui seul du personnel, ni le licencier. Par conséquent, c’est à juste titre que la Commission a considéré que l’activité du recourant correspondait plutôt au niveau 15 de la chaîne 371. S’agissant des compétences sociales, la différence entre le niveau 15 et le niveau 16 est relative à la complexité des messages diffusés et à la difficulté de la transmission. Ceux-ci sont « très complexes » au niveau 15 et « des plus complexes » au niveau 16. Or, comme viennent le corroborer les témoignages de MM. D.________ et L.________, le département en question est monothématique. De ce fait, les messages diffusés se font dans un milieu homogène en ce sens qu’ils sont destinés soit au service du directeur administratif, soit à la Direction générale, de sorte qu’ils ne peuvent être considérés comme « des plus complexes ». Partant, la Commission peut être suivie en ce sens que l’activité du recourant correspond plutôt au niveau 15 de la chaîne 371. Enfin, la conduite est de niveau 15 si elle s’exerce auprès d’un groupe moyen de personnes représentant une « moyenne diversité de fonctions » et de niveau 16 si elle représente une « très grande diversité de fonctions ». Comme l’a relevé la Commission dans sa décision, le groupe conduit par le recourant représente une faible diversité de fonctions, puisque les subordonnés exercent une activité plutôt administrative. En outre, l’on ne comprendrait pas que le recourant se voie attribuer le niveau</w:t>
      </w:r>
    </w:p>
    <w:p>
      <w:r>
        <w:rPr>
          <w:b/>
        </w:rPr>
        <w:t>E. 16</w:t>
      </w:r>
    </w:p>
    <w:p>
      <w:r>
        <w:t>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p. 8,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p. 165, c. 3.2) et admet qu'un système de rémunération présente nécessairement un certain schématisme (ATF 121 I 102, p. 104,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l’espèce, les postes que le recourant prend à titre de comparaison ne sauraient être pertinents. En effet, les deux postes examinés impliquent des décisions qui ont un impact immédiat sur l’ensemble des départements et des collaborateurs du J.________ ce qui n’est, comme exposé précédemment, pas le cas pour le poste du recourant. De plus, les collaborateurs précités participent de manière plus active aux décisions qui peuvent concerner l’ensemble du J.________. A titre d’exemple, les tâches décrites par le témoin G.________ ont convaincu le Tribunal du fait que l’attribution du niveau 16 à son poste correspondait à ses grandes responsabilités, liées directement à la Direction générale du J.________. En définitive, le recourant ne saurait se prévaloir d’une inégalité de traitement, dans la mesure où des situations semblables ont été traitées de manière semblable et des situations différentes de manière différente. C’est bien l’attribution du niveau 16 au poste du recourant qui créerait une inégalité avec les employés du J.________ colloqués au niveau 16 du fait de responsabilités plus importantes. En conséquence, ce grief doit également être écarté. En conséquence, ce grief doit également être écarté. De plus, la collocation du poste du recourant au niveau 15 semble cohérente à l’interne de l’Administration cantonale. Pour cette raison également, le moyen tiré du principe de l’égalité de traitement doit être écarté. IV. En résumé, le recourant a été correctement colloqué au niveau 15 par la Commission, de sorte que son recours doit être rejeté. Les frais de seconde instance sont arrêtés à 500 fr. et mis à la charge du recourant (art. 47 al. 2, 49 al. 1 LPA-VD, art. 4 al. 3 du tarif des frais judiciaires en matière de droit administratif et public du 11 décembre 2007;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