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332 vom 30. April 2015</w:t>
      </w:r>
    </w:p>
    <w:p>
      <w:r>
        <w:t>VD Tribunal cantonal, 2015-04-30, FR</w:t>
      </w:r>
    </w:p>
    <w:p>
      <w:r>
        <w:rPr>
          <w:b/>
        </w:rPr>
        <w:t xml:space="preserve">Quelle: </w:t>
      </w:r>
      <w:r>
        <w:t>https://mcp.opencaselaw.ch/entscheid/vd_findinfo_D_cision___2015___332</w:t>
      </w:r>
    </w:p>
    <w:p>
      <w:r>
        <w:t>FR: VD_FINDINFO Décision / 2015 / 332 du 30 avril 2015</w:t>
      </w:r>
    </w:p>
    <w:p>
      <w:r>
        <w:t>IT: VD_FINDINFO Décision / 2015 / 332 del 30 aprile 2015</w:t>
      </w:r>
    </w:p>
    <w:p>
      <w:pPr>
        <w:pStyle w:val="Heading2"/>
      </w:pPr>
      <w:r>
        <w:t>Regeste</w:t>
      </w:r>
    </w:p>
    <w:p>
      <w:r>
        <w:t>MISE EN LIBERTÉ PROVISOIRE, RISQUE DE FUITE, RISQUE DE COLLUSION, REJET DE LA DEMANDE, PROPORTIONNALITÉ, MESURE DE SUBSTITUTION À LA DÉTENTION | 221 al. 1 let. a CPP (CH), 221 al. 1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la prévenue qui a qualité pour recourir (art. 222 et 382 al. 1 CPP), et dans les formes prescrites (art. 385 al. 1 CPP), le recours est recevable.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2.2 En premier lieu, la recourante conteste l’existence de soupçons suffisants.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 En l’espèce, en l’état actuel de l’instruction, les déclarations des plaignants sont globalement concordantes et les lésions constatées par le CURML sur T.________ et B.________ quelques jours après les faits apparaissent compatibles avec leur version des faits (P. 41 et 42). Au surplus, il ressort du rapport d’investigation de la police du 1 er avril 2015 (P. 13) que le frère d’R.________ – qui est actuellement en détention au Monténégro – lui aurait reproché, lors d’une conversation téléphonique, d’avoir voulu aller trop vite et d’avoir exigé l’argent trop rapidement de T.________. S’agissant de l’implication de la recourante, on relèvera qu’après l’avoir nié devant le Procureur (PV aud. d’Y.________ du 28 janvier 2015, lignes 80 ss), la recourante a finalement admis avoir filmé les ébats de T.________ et B.________ dans la voiture qui les ramenait d’une discothèque à Neuchâtel dans la nuit du 24 au 25 janvier 2015 (PV aud. d’Y.________ du 27 février 2015, p. 3). C’est cette vidéo qui aurait ensuite servi à P.________ et R.________ comme moyen d’extorsion et de chantage sur T.________ le matin du 26 janvier 2015 dans l’appartement de la tante de la recourante à [...]. Par ailleurs, c’est la recourante qui a convié T.________, B.________ et [...] à venir chez sa tante le matin du 26 janvier 2015 (PV audition de [...] du 26 janvier 2015, p. 3 ; PV audition-plainte de T.________ du 26 janvier 2015, p. 3) et qui a ensuite – de son propre aveu – prévenu P.________ et R.________ de la présence de T.________ et B.________ quelques minutes avant que ceux-ci n’arrivent pour commettre leur méfait (PV aud. 3 d’Y.________ du 27 février 2015, p. 3). A cet égard, la recourante a admis qu’il y avait à tout le moins eu une bagarre entre les protagonistes (PV aud. 3 d’Y.________ du 27 février 2015, p. 3), même si elle conteste que quiconque ait réclamé de l’argent à T.________. Il ressort encore des rapports d’investigation de la Police cantonale des 29 janvier et 1 er avril 2015 qu’R.________ aurait expressément demandé à la prévenue une preuve formelle de la relation entre T.________ et B.________ et qu’il l’aurait fait venir en Suisse dans ce but (rapport de police du 1 er avril 2015, pp. 15-16). Y.________ a indiqué avoir spontanément montré la vidéo à R.________ le lendemain de la soirée en discothèque et la veille de l’altercation intervenue dans l’appartement de [...] (PV aud. 2 d’Y.________ du 27 février 2015), précisant que celui-ci aurait très mal réagi. Or on ne s’explique pas, à ce stade, pour quelle raison elle aurait convié R.________ à la rejoindre dans l’appartement de sa tante le matin du 26 janvier 2015, alors qu’elle se trouvait en présence de l’ex-compagne de celui-ci et qu’elle connaissait la situation conflictuelle entre R.________, T.________ et B.________. On ne s’explique pas non plus pour quelle raison la recourante aurait invité chez sa tante B.________, alors qu’elle lui reproche de lui avoir volé de nombreux objets à son domicile au Kosovo durant un séjour de quatre jours chez elle (PV aud. 3 d’Y.________ du 27 février 2015). Au vu de ces éléments, il existe, à ce stade de l’instruction, des soupçons suffisants qu’une infraction a été commise et que la recourante a joué un rôle central dans celle-ci, notamment en fournissant la vidéo des ébats sexuels du couple et en réunissant tout le monde dans l’appartement de sa tante. 2.3 La recourante conteste l’existence d’un risque de fuite propre à justifier son maintien en détention provisoire.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En l’espèce, la recourante, ressortissante du Kosovo, n’a aucun titre de séjour, ni aucune attache avec la Suisse, hormis sa tante et un cousin qui sont domiciliés à [...]. En l’absence de tout lien solide avec la Suisse, il est fortement à craindre, au vu de la peine qu’elle encourrait en cas de condamnation, qu’elle ne cherche à se soustraire aux poursuites engagées contre elle en disparaissant dans la clandestinité. Par conséquent, le risque de fuite est concret. 2.4 La détention provisoire étant justifiée par le seul risque de fuite, il n'est pas nécessaire de trancher la question de l'existence du risque de collusion, retenu par le Tribunal des mesures de contrainte et contesté par la recourante (TF 1B_249/2011 du 7 juin 2011 c. 2.4). Néanmoins, celui-ci apparaît également réalisé, dès lors que l’instruction devra se poursuivre notamment par des auditions de confrontation et qu’au vu des contestations et contradictions existant entre les déclarations des différents protagonistes, il existe un risque réel que la recourante ne chercher à influencer les déclarations des autres parties.</w:t>
      </w:r>
    </w:p>
    <w:p>
      <w:r>
        <w:rPr>
          <w:b/>
        </w:rPr>
        <w:t>E. 3</w:t>
      </w:r>
    </w:p>
    <w:p>
      <w:r>
        <w:t>La recourante invoque une violation du principe de la proportionnalité au regard de la durée de la détention subie. La détention provisoire ne doit pas durer plus longtemps que la peine privative de liberté prévisible (art. 212 al. 3 CPP).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 En l’espèce, comme on l’a vu, il existe des soupçons suffisants s’agissant de l’implication de la recourante dans les faits qui se sont déroulés dans l’appartement de sa tante le 26 janvier 2015. Contrairement à ce qu’elle soutient, elle ne s’expose donc pas uniquement à une peine en raison du séjour illégal. Au vu de la gravité des faits qui lui sont reprochés, la durée de la détention – soit six mois au terme de la prolongation contestée – est encore inférieure à celle de la peine privative de liberté à laquelle elle s’expose concrètement en cas de condamnation, étant rappelé que le fait que la peine encourue puisse être assortie du sursis, total ou partiel, n'est pas déterminant. Enfin, on ne peut pas reprocher au Procureur de ne pas avancer dans son enquête, celle-ci étant relativement complexe au vu des nombreuses conversations téléphoniques et messages (plusieurs milliers de pages selon le rapport d’investigation du 1 er avril 2015) qu’il convient de traduire avant de pouvoir les exploiter.</w:t>
      </w:r>
    </w:p>
    <w:p>
      <w:r>
        <w:rPr>
          <w:b/>
        </w:rPr>
        <w:t>E. 4</w:t>
      </w:r>
    </w:p>
    <w:p>
      <w:r>
        <w:t>La recourante requiert des mesures de substitution à la détention provisoire, indiquant qu’elle serait prête à se conformer à toute décision des autorités suisses la concernant.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Au vu des considérants qui précèdent et comme l’a à juste titre relevé le premier juge, aucune mesure de substitution – que ce soit sous la forme du dépôt des pièces d’identité de la prévenue, d’une obligation de se présenter régulièrement à un poste de police ou sous toute autre forme – ne serait suffisante afin de prévenir efficacement le risque de fuite que présente la recourante au regard de la situation précaire qui est la sienne, de la facilité évidente de quitter notre pays même en l’absence de papiers d’identité et de la peine encourue.</w:t>
      </w:r>
    </w:p>
    <w:p>
      <w:r>
        <w:rPr>
          <w:b/>
        </w:rPr>
        <w:t>E. 5</w:t>
      </w:r>
    </w:p>
    <w:p>
      <w:r>
        <w:t>En définitive, le recours, manifestement mal fondé, doit être rejeté sans autre échange d’écritures (art. 390 al. 2 CPP) et l'ordonnance du 14 avril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du recourant (art. 422 al. 1 et 2 let. a CPP), fixés à 630 fr. plus la TVA par 50 fr. 40, soit 680 fr. 40 au total,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14 avril 2015 est confirmée. III. L'indemnité allouée au défenseur d'office d’Y.________ est fixée à 680 fr. 40 (six cent huitante francs et quarante centimes). IV. Les frais du présent arrêt, par 880 fr. (huit cent huitante francs), ainsi que l'indemnité due au défenseur d'office d’Y.________ selon le chiffre III ci-dessus, sont mis à la charge de cette dernière. V. Le remboursement à l'Etat de l'indemnité allouée au chiffre III ci-dessus sera exigible pour autant que la situation d’Y.________ se soit améliorée. VI. Le présent arrêt est exécutoire. Le président :               La greffière : Du Le présent arrêt, dont la rédaction a été approuvée à huis clos, est notifié, par l'envoi d'une copie complète, à : - Mme Caroline Fauquex-Gerber, avocate (pour Y.________), - Ministère public central, et communiqué à : - M. le Procureur de l’arrondissement du Nord vaudois,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