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327 vom 23. April 2015</w:t>
      </w:r>
    </w:p>
    <w:p>
      <w:r>
        <w:t>VD Tribunal cantonal, 2015-04-23, FR</w:t>
      </w:r>
    </w:p>
    <w:p>
      <w:r>
        <w:rPr>
          <w:b/>
        </w:rPr>
        <w:t xml:space="preserve">Quelle: </w:t>
      </w:r>
      <w:r>
        <w:t>https://mcp.opencaselaw.ch/entscheid/vd_findinfo_D_cision___2015___327</w:t>
      </w:r>
    </w:p>
    <w:p>
      <w:r>
        <w:t>FR: VD_FINDINFO Décision / 2015 / 327 du 23 avril 2015</w:t>
      </w:r>
    </w:p>
    <w:p>
      <w:r>
        <w:t>IT: VD_FINDINFO Décision / 2015 / 327 del 23 aprile 2015</w:t>
      </w:r>
    </w:p>
    <w:p>
      <w:pPr>
        <w:pStyle w:val="Heading2"/>
      </w:pPr>
      <w:r>
        <w:t>Regeste</w:t>
      </w:r>
    </w:p>
    <w:p>
      <w:r>
        <w:t>DÉLAI DE RECOURS, RETARD | 396 al. 1 CPP (CH), 91 CPP (CH)</w:t>
      </w:r>
    </w:p>
    <w:p>
      <w:pPr>
        <w:pStyle w:val="Heading2"/>
      </w:pPr>
      <w:r>
        <w:t>Erwägungen</w:t>
      </w:r>
    </w:p>
    <w:p>
      <w:r>
        <w:rPr>
          <w:b/>
        </w:rPr>
        <w:t>E. 1.1</w:t>
      </w:r>
    </w:p>
    <w:p>
      <w:r>
        <w:t>Les parties peuvent attaquer une ordonnance de suspension rendue par le Ministère public (cf. art. 393 al. 1 let. a et 314 al. 5 CPP [Code de procédure pénale suisse du 5 octobre 2007; RS 312.0], lequel renvoie aux art. 320 ss CPP; CREP 10 février 2015/104 c. 1.1; CREP 30 juin 2011/271 c. 1) dans les dix jours devant l’autorité de recours (art. 322 al. 2 CPP; cf. art. 20 al. 1 let. b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Les requêtes écrites doivent être datées et signées (cf. art. 110 al. 1 CPP). Ainsi, les actes de procédure envoyés par télécopie ne sont en principe pas admissibles (TF 1C_146/2012 du 23 mars 2012; TF 2C_177/2010 du 14 avril 2010; ATF 121 II 252; Moreillon/Parein-Reymond, Petit commentaire du Code de procédure pénale, Bâle 2013, n. 3 ad art. 396 CPP). En effet, pour des raisons de sécurité, il y a lieu d'exiger qu'un acte de recours soit muni de la signature originale de son auteur;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 3 et les références citées).</w:t>
      </w:r>
    </w:p>
    <w:p>
      <w:r>
        <w:rPr>
          <w:b/>
        </w:rPr>
        <w:t>E. 1.3</w:t>
      </w:r>
    </w:p>
    <w:p>
      <w:r>
        <w:t>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rPr>
          <w:b/>
        </w:rPr>
        <w:t>E. 1.4</w:t>
      </w:r>
    </w:p>
    <w:p>
      <w:r>
        <w:t>En l’espèce, l'ordonnance attaquée a été adressée aux parties le 2 avril 2015 par courrier B (cf. P. 27/2). Le conseil du recourant affirme l’avoir reçue le 8 avril 2015 (P. 27/1), ce qui est plausible compte tenu du week-end pascal. Le délai pour former recours au sens de l’art. 396 al. 1 CPP a donc commencé à courir le lendemain, soit le 9 avril 2015, et est arrivé à échéance le lundi 20 avril 2015 (cf. art. 90 al.</w:t>
      </w:r>
    </w:p>
    <w:p>
      <w:r>
        <w:rPr>
          <w:b/>
        </w:rPr>
        <w:t>E. 2</w:t>
      </w:r>
    </w:p>
    <w:p>
      <w:r>
        <w:t>Il résulte de ce qui précède que le recours de A.F.________ doit être déclaré irrecevable. Les frais de la procédure de recours, constitués du seul émolument d'arrêt, par 440 fr. (art. 20 al. 1 TFIP [Tarif des frais de procédure et indemnités en matière pénale du 28 septembre 2010, RSV 312.03.1]), seront mis à la charge de A.F.________, qui succombe (art. 428 al. 1 CPP). Par ces motifs, la Chambre des recours pénale prononce : I. Le recours est irrecevable. II. Les frais d’arrêt, par 440 fr. (quatre cent quarante francs), sont mis à la charge de A.F.________. III. Le présent arrêt est exécutoire. Le président :               La greffière : Du Le présent arrêt, dont la rédaction a été approuvée à huis clos, est notifié, par l'envoi d'une copie complète, à : - M. Stephen Gintzburger, avocat (pour A.F.________), - Mme Valérie Mérinat, avocate (pour P.________),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