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326 vom 22. April 2015</w:t>
      </w:r>
    </w:p>
    <w:p>
      <w:r>
        <w:t>VD Tribunal cantonal, 2015-04-22, FR</w:t>
      </w:r>
    </w:p>
    <w:p>
      <w:r>
        <w:rPr>
          <w:b/>
        </w:rPr>
        <w:t xml:space="preserve">Quelle: </w:t>
      </w:r>
      <w:r>
        <w:t>https://mcp.opencaselaw.ch/entscheid/vd_findinfo_D_cision___2015___326</w:t>
      </w:r>
    </w:p>
    <w:p>
      <w:r>
        <w:t>FR: VD_FINDINFO Décision / 2015 / 326 du 22 avril 2015</w:t>
      </w:r>
    </w:p>
    <w:p>
      <w:r>
        <w:t>IT: VD_FINDINFO Décision / 2015 / 326 del 22 aprile 2015</w:t>
      </w:r>
    </w:p>
    <w:p>
      <w:pPr>
        <w:pStyle w:val="Heading2"/>
      </w:pPr>
      <w:r>
        <w:t>Regeste</w:t>
      </w:r>
    </w:p>
    <w:p>
      <w:r>
        <w:t>RÉCUSATION, DÉCISION D'IRRECEVABILITÉ | 56 let. f CPP (CH), 58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A.W.________ à l’encontre du Procureur Denis Mathey (art. 13 LVCPP [loi cantonale vaudoise d’introduction du code de procédure pénale suisse du 19 mai 2009; RSV 312.01]).</w:t>
      </w:r>
    </w:p>
    <w:p>
      <w:r>
        <w:rPr>
          <w:b/>
        </w:rPr>
        <w:t>E. 2</w:t>
      </w:r>
    </w:p>
    <w:p>
      <w:r>
        <w:t>Invoquant des violations graves et répétées des droits de la défense, le requérant fait valoir que ces circonstances donnent l'apparence d'une activité partiale, empreinte de relents de lassitude et d'inimitié à son égard.</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du 19 décembre 2011 précité c. 2.1 et la référence citée; ATF 136 III 605 c. 3.2.1; ATF 134 I 20 c. 4.2), et des erreurs de procédure ou d’appréciation ne suffisent pas (TF 1B_305/2010 du 25 octobre 2010; ATF 116 Ia 135).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 2.1; TF 1B_277/2008 du 13 novembre 2008 c. 2.3), ce qui semble impliquer un délai en tout cas inférieur à dix jours, voire à la semaine (Verniory, in : Kuhn/Jeanneret [éd.], Code de procédure pénale suisse, Commentaire romand, Bâle 2011, n. 8 ad art. 58 CPP; Boog, in : Niggli/Heer/Wiprächtiger (éd.), Basler Kommentar, Schweizerische Strafprozessordnung, Jugendstrafprozessordnung, Art. 1-195 StPO, 2 e éd., Bâle 2014, n. 5 ad art. 58 CPP et les arrêts cités).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Bâle 2013, n. 3 ad art. 58 CPP et les arrêts cités; Verniory, op. cit., n. 8 ad art. 58 CPP).</w:t>
      </w:r>
    </w:p>
    <w:p>
      <w:r>
        <w:rPr>
          <w:b/>
        </w:rPr>
        <w:t>E. 2.2</w:t>
      </w:r>
    </w:p>
    <w:p>
      <w:r>
        <w:t>Dans son courrier du 20 mars 2015, A.W.________ met en exergue diverses erreurs de procédure ou décisions négatives rendues à son encontre pour en déduire une prévention du procureur à son égard. A lire les diverses pièces du dossier, A.W.________ se serait ainsi vu refuser l'accès au dossier ainsi que la restitution de délais pour des notifications prétendument irrégulières. Il aurait pu contester ces décisions. Il ne l'a pas fait. Or, une demande de récusation doit être présentée sans délai et il est contraire au principe de la bonne foi de ne pas réagir pendant la procédure et d'attendre de voir quelle évolution sera donnée à celle-ci pour ensuite solliciter la récusation du procureur. Dans ces circonstances, la demande de récusation présentée par A.W.________ est manifestement tardive, de sorte qu'elle doit être considérée comme irrecevable.</w:t>
      </w:r>
    </w:p>
    <w:p>
      <w:r>
        <w:rPr>
          <w:b/>
        </w:rPr>
        <w:t>E. 3</w:t>
      </w:r>
    </w:p>
    <w:p>
      <w:r>
        <w:t>En définitive, la demande de récusation déposée le 20 mars 2015 par A.W.________ doit être écartée. Les frais de la présente procédure, constitués en l'espèce du seul émolument de décision, par 550 fr. (art. 20 TFIP [Tarif des frais de procédure et indemnités en matière pénale du 28 septembre 2010; RSV 312.03.1]), seront mis à la charge du requérant conformément à l'art. 59 al. 4 2 e phrase CPP. Par ces motifs, la Chambre des recours pénale prononce : I. La demande de récusation présentée le 20 mars 2015 par A.W.________ est irrecevable. II. Les frais de la présente procédure, par 550 fr. (cinq cent cinquante francs), sont mis à la charge du requérant. III. La présente décision est exécutoire. Le président :               La greffière : Du La présente décision, dont la rédaction a été approuvée à huis clos, est notifiée, par l'envoi d'une copie complète, à : - M. Olivier Rodondi, avocat (pour A.W.________), - Ministère public central, et communiquée à : - M. le Président du Tribunal de police de l'arrondissement de La Côte, ‑ M. le Procureur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