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323 vom 17. März 2015</w:t>
      </w:r>
    </w:p>
    <w:p>
      <w:r>
        <w:t>VD Tribunal cantonal, 2015-03-17, FR</w:t>
      </w:r>
    </w:p>
    <w:p>
      <w:r>
        <w:rPr>
          <w:b/>
        </w:rPr>
        <w:t xml:space="preserve">Quelle: </w:t>
      </w:r>
      <w:r>
        <w:t>https://mcp.opencaselaw.ch/entscheid/vd_findinfo_D_cision___2015___323</w:t>
      </w:r>
    </w:p>
    <w:p>
      <w:r>
        <w:t>FR: VD_FINDINFO Décision / 2015 / 323 du 17 mars 2015</w:t>
      </w:r>
    </w:p>
    <w:p>
      <w:r>
        <w:t>IT: VD_FINDINFO Décision / 2015 / 323 del 17 marzo 2015</w:t>
      </w:r>
    </w:p>
    <w:p>
      <w:pPr>
        <w:pStyle w:val="Heading2"/>
      </w:pPr>
      <w:r>
        <w:t>Regeste</w:t>
      </w:r>
    </w:p>
    <w:p>
      <w:r>
        <w:t>RETRAIT{VOIE DE DROIT} | 386 al. 2 let. b CPP (CH)</w:t>
      </w:r>
    </w:p>
    <w:p>
      <w:pPr>
        <w:pStyle w:val="Heading2"/>
      </w:pPr>
      <w:r>
        <w:t>Volltext</w:t>
      </w:r>
    </w:p>
    <w:p>
      <w:r>
        <w:t>Vaud Tribunal cantonal Chambre des recours pénale 17.03.2015 Décision / 2015 / 323</w:t>
      </w:r>
    </w:p>
    <w:p>
      <w:r>
        <w:t>RETRAIT{VOIE DE DROIT} | 386 al. 2 let. b CPP (CH)</w:t>
      </w:r>
    </w:p>
    <w:p>
      <w:r>
        <w:t>TRIBUNAL CANTONAL 195 PE14.013027-PBR CHAMBRE DES RECOURS PENALE __________________________________________ Arrêt du 17 mars 2015 __________________ Composition :               M. Abrecht , président MM. Krieger et Perrot, juges Greffière :              Mme Jordan ***** Art. 386 al. 2 let. b CPP Statuant sur le recours interjeté le 23 février 2015 par I.________ contre la décision rendue le 2 février 2015 par le Tribunal criminel de l’arrondissement de Lausanne dans la cause n° PE14.013027-PBR , la Chambre des recours pénale considère : En fait et en droit : 1. Par courrier que son défenseur a adressé le 13 mars 2015, I.________ a déclaré retirer le recours qu’il avait interjeté le 23 février 2015 contre la décision rendue le 2 février 2015 par le Tribunal criminel de l’arrondissement de Lausanne. Il convient d’en prendre acte et de rayer la cause du rôle. 2.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le recours interjeté par I.________ ayant été retiré ensuite de la communication de la motivation du jugement, il se justifie de laisser à la charge de l’Etat les frais de la procédure de recours constitués de l'émolument d'arrêt, par 220 fr. (art. 20 al. 1 TFIP [tarif des frais de procédure et indemnités en matière pénale du 28 septembre 2010; RSV 312.03.1]), et des frais imputables à la défense d'office (art. 422 al. 1 et al. 2 let. a CPP), fixés à 561 fr., plus la TVA, par 44 fr. 90, soit 605 fr. 90 au total. Par ces motifs, la Chambre des recours pénale prononce : I. Il est pris acte du retrait du recours. II. La cause est rayée du rôle. III. L’indemnité allouée au défenseur d’office de I.________ est fixée à 605 fr. 90 (six cent cinq francs et nonante centimes). IV. Les frais d’arrêt, par 220 fr. (deux cent vingt francs), ainsi que l’indemnité allouée au défenseur d’office de I.________, par 605 fr. 90 (six cent cinq francs et nonante centimes), sont laissés à la charge de l’Etat. V. Le présent arrêt est exécutoire. Le président :               La greffière : Du Le présent arrêt, dont la rédaction a été approuvée à huis clos, est notifié, par l'envoi d'une copie complète, à : - M. Baptiste Viredaz, avocat (pour I.________), - Ministère public central, et communiqué à : - M. le Président du Tribunal criminel de l’arrondissement de Lausanne,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