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317 vom 20. April 2015</w:t>
      </w:r>
    </w:p>
    <w:p>
      <w:r>
        <w:t>VD Tribunal cantonal, 2015-04-20, FR</w:t>
      </w:r>
    </w:p>
    <w:p>
      <w:r>
        <w:rPr>
          <w:b/>
        </w:rPr>
        <w:t xml:space="preserve">Quelle: </w:t>
      </w:r>
      <w:r>
        <w:t>https://mcp.opencaselaw.ch/entscheid/vd_findinfo_D_cision___2015___317</w:t>
      </w:r>
    </w:p>
    <w:p>
      <w:r>
        <w:t>FR: VD_FINDINFO Décision / 2015 / 317 du 20 avril 2015</w:t>
      </w:r>
    </w:p>
    <w:p>
      <w:r>
        <w:t>IT: VD_FINDINFO Décision / 2015 / 317 del 20 aprile 2015</w:t>
      </w:r>
    </w:p>
    <w:p>
      <w:pPr>
        <w:pStyle w:val="Heading2"/>
      </w:pPr>
      <w:r>
        <w:t>Regeste</w:t>
      </w:r>
    </w:p>
    <w:p>
      <w:r>
        <w:t>DÉCISION D'IRRECEVABILITÉ, ADMISSION DE LA DEMANDE, CONTRAINTE{DROIT PÉNAL}, DROIT DES POURSUITES ET FAILLITES | 22 ad 181 CP, 310 CPP</w:t>
      </w:r>
    </w:p>
    <w:p>
      <w:pPr>
        <w:pStyle w:val="Heading2"/>
      </w:pPr>
      <w:r>
        <w:t>Erwägungen</w:t>
      </w:r>
    </w:p>
    <w:p>
      <w:r>
        <w:rPr>
          <w:b/>
        </w:rPr>
        <w:t>E. 1</w:t>
      </w:r>
    </w:p>
    <w:p>
      <w:r>
        <w:t>Approuvée par le Procureur général le 16 février 2015, l’ordonnance attaquée a été notifiée au plaignant, par son conseil, par pli mis à la poste le 20 février suivant. Interjeté le 4 mars 2015, le recours l’a été dans le délai légal (art. 322 al. 2 et 396 al. 1 CPP [Code de procédure pénale suisse du 5 octobre 2007; RS 312.0]), contre une ordonnance de non-entrée en matière du Ministère public (art. 393 al. 1 let. a CPP), par la partie plaignante qui a qualité pour recourir (art. 382 al. 1 CPP; CREP 23 décembre 2014/916 c. 1; CREP 9 décembre 2014/874 c. 1). Répondant aux formes prescrites (art. 385 al. 1 CPP), le recours est ainsi recevable.</w:t>
      </w:r>
    </w:p>
    <w:p>
      <w:r>
        <w:rPr>
          <w:b/>
        </w:rPr>
        <w:t>E. 2</w:t>
      </w:r>
    </w:p>
    <w:p>
      <w:r>
        <w:t>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w:t>
      </w:r>
    </w:p>
    <w:p>
      <w:r>
        <w:rPr>
          <w:b/>
        </w:rPr>
        <w:t>E. 3.1</w:t>
      </w:r>
    </w:p>
    <w:p>
      <w:r>
        <w:t>Le recourant soutient qu’au vu des éléments du dossier, le Procureur ne pouvait pas considérer d’emblée que les éléments constitutifs de l’infraction de tentative de contrainte n’étaient manifestement pas réunis, mais aurait dû ouvrir une instruction.</w:t>
      </w:r>
    </w:p>
    <w:p>
      <w:r>
        <w:rPr>
          <w:b/>
        </w:rPr>
        <w:t>E. 3.2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 4.1; ATF 129 IV 6 c. 3.4; ATF 119 IV 301 c.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 1a; ATF 120 IV 17 c. 2a/aa). Sur le plan subjectif, il faut que l’auteur ait agi avec conscience et volonté, soit au moins qu’il ait accepté l’éventualité que le procédé illicite employé entrave le destinataire dans sa liberté de décision (ATF 120 IV 17 c. 2c; TF 6B_38/2011 c. 2.2.1 du 26 avril 2011). Selon la jurisprudence du Tribunal fédéral, pour une personne de sensibilité moyenne, faire l’objet d’un commandement de payer portant sur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le cas échant, donc à l’entraver d’une manière substantielle dans sa liberté de décision ou d’action. Certes, faire notifier un commandement de payer lorsqu'on est fondé à réclamer une telle somme est licite. En revanche, utiliser un tel procédé comme moyen de pression pour dissuader la personne visée d'agir correctement dans sa profession est clairement abusif, donc illicite (pour le tout: TF 6S.853/2000 du 9 mai 2001 c. 4c; cf. également TF 6B_281/2013 du 16 juillet 2013 c. 1.1.2).</w:t>
      </w:r>
    </w:p>
    <w:p>
      <w:r>
        <w:rPr>
          <w:b/>
        </w:rPr>
        <w:t>E. 3.3</w:t>
      </w:r>
    </w:p>
    <w:p>
      <w:r>
        <w:t>En l’espèce, le recourant a reçu un courrier le 5 décembre 2014 de la [...] lui réclamant un montant de 110'000 fr. à titre de peine conventionnelle pour une prétendue violation d’une clause de non-concurrence. Le recourant a immédiatement contesté cette violation, exposant que lorsque l’employeur résilie le contrat de travail sans que le travailleur lui ait donné un motif justifié, la clause de prohibition de concurrence cesse en vertu de l’art. 340c CO. Le montant réclamé, soit en l’espèce 110'000 fr., n’est pas négligeable. Il convient dès lors de vérifier si le moyen utilisé, à savoir la mise aux poursuites du recourant pour une telle somme, est proportionné au but visé, la contrainte étant illicite non seulement lorsque le moyens ou le but est contraire au droit, mais encore lorsque le moyen est disproportionné pour atteindre le but visé.</w:t>
      </w:r>
    </w:p>
    <w:p>
      <w:r>
        <w:rPr>
          <w:b/>
        </w:rPr>
        <w:t>E. 3.4</w:t>
      </w:r>
    </w:p>
    <w:p>
      <w:r>
        <w:t>Il convient dès lors d’ouvrir une instruction pénale et d’ordonner les mesures d’instruction nécessaires, en particulier d’ordonner la production du contrat de travail liant les parties afin d’avoir connaissance de la clause de non-concurrence et déterminer si le montant réclamé est proportionnel au but visé, ainsi que de procéder à l’audition de l’employeur pour connaître les motifs de licenciement du recourant. Il conviendra également de déterminer quand K.________ aurait commis l’acte de concurrence prohibé. Il ne s’agit pas ici de faire le procès civil, mais d’éclaircir les circonstances dans lesquelles le commandement de payer a été envoyé, notamment si son but est ou non de mettre le recourant sous pression dans le cadre d’un litige de droit du travail qui l’oppose à son ancien employeur.</w:t>
      </w:r>
    </w:p>
    <w:p>
      <w:r>
        <w:rPr>
          <w:b/>
        </w:rPr>
        <w:t>E. 4</w:t>
      </w:r>
    </w:p>
    <w:p>
      <w:r>
        <w:t>Il résulte de ce qui précède que le recours doit être admis, le dossier étant renvoyé au Ministère public de l’arrondissement de La Côte pour qu’il procède dans le sens des considérants (cf. c. 3.4 supra). Les frais de la procédure de recours, constitués en l’espèce de l'émolument d'arrêt (art. 422 al. 1 CPP), par 550 fr. (art. 20 al. 1 TFIP [tarif des frais de procédure et indemnités en matière pénale du 28 septembre 2010; RSV 312.03.1]), seront laissés à la charge de l’Etat (art. 423 al. 1 CPP). S’agissant des dépens réclamés par le recourant, ce dernier aura la possibilité, à la fin de la procédure, de formuler ses prétentions auprès de l’autorité pénale compétente selon l’art. 433 al. 2 CPP (CREP 16 avril 2013/279 c. 4 et les références citées). Par ces motifs, la Chambre des recours pénale prononce : I. Le recours est admis. II. L’ordonnance du 11 février 2015 est annulée. III. Le dossier de la cause est renvoyé au Ministère public de l’arrondissement de La Côte pour qu’il procède dans le sens des considérants. IV. Les frais du présent arrêt, par 550 fr., sont laissés à la charge de l’Etat. V. Le présent arrêt est exécutoire. Le président :               La greffière : Du Le présent arrêt, dont la rédaction a été approuvée à huis clos, est notifié, par l'envoi d'une copie complète, à : - M. Patrick Mangold, avocat (pour K.________),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