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316 vom 22. April 2015</w:t>
      </w:r>
    </w:p>
    <w:p>
      <w:r>
        <w:t>VD Tribunal cantonal, 2015-04-22, FR</w:t>
      </w:r>
    </w:p>
    <w:p>
      <w:r>
        <w:rPr>
          <w:b/>
        </w:rPr>
        <w:t xml:space="preserve">Quelle: </w:t>
      </w:r>
      <w:r>
        <w:t>https://mcp.opencaselaw.ch/entscheid/vd_findinfo_D_cision___2015___316</w:t>
      </w:r>
    </w:p>
    <w:p>
      <w:r>
        <w:t>FR: VD_FINDINFO Décision / 2015 / 316 du 22 avril 2015</w:t>
      </w:r>
    </w:p>
    <w:p>
      <w:r>
        <w:t>IT: VD_FINDINFO Décision / 2015 / 316 del 22 aprile 2015</w:t>
      </w:r>
    </w:p>
    <w:p>
      <w:pPr>
        <w:pStyle w:val="Heading2"/>
      </w:pPr>
      <w:r>
        <w:t>Regeste</w:t>
      </w:r>
    </w:p>
    <w:p>
      <w:r>
        <w:t>DÉTENTION PROVISOIRE, RISQUE DE RÉCIDIVE, MESURE DE SUBSTITUTION À LA DÉTENTION, SOUPÇON | 221 al. 1 let. c CPP (CH), 237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RSV 173.01]). 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En l’espèce, le recourant a admis avoir acquis une arme sans autorisation et tiré au moyen de celle-ci plusieurs coups de feu le 5 avril 2015 au matin devant le [...]. Il a également admis avoir vendu du cannabis. Il existe ainsi des présomptions de culpabilité suffisantes contre R.________.</w:t>
      </w:r>
    </w:p>
    <w:p>
      <w:r>
        <w:rPr>
          <w:b/>
        </w:rPr>
        <w:t>E. 3</w:t>
      </w:r>
    </w:p>
    <w:p>
      <w:r>
        <w:t>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3.1</w:t>
      </w:r>
    </w:p>
    <w:p>
      <w:r>
        <w:t>Le recourant soutient que le risque de réitération qui a justifié sa mise en détention provisoire ne serait plus réalisé, car il aurait été engagé dès le 1 er mai prochain en qualité d’ouvrier par B.________ Sàrl pour une durée indéterminée.</w:t>
      </w:r>
    </w:p>
    <w:p>
      <w:r>
        <w:rPr>
          <w:b/>
        </w:rPr>
        <w:t>E. 3.2</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w:t>
      </w:r>
    </w:p>
    <w:p>
      <w:r>
        <w:rPr>
          <w:b/>
        </w:rPr>
        <w:t>E. 3.3</w:t>
      </w:r>
    </w:p>
    <w:p>
      <w:r>
        <w:t>En l’espèce, l’extrait du casier judiciaire suisse de R.________ fait état de deux précédentes condamnations ainsi que de deux autres enquêtes en cours pour des actes de violence. En outre, il convient de tenir compte de la situation personnelle du recourant, qui a admis vivre de son trafic de cannabis. Il est donc à craindre que, remis en liberté, il ne commette des infractions du même genre que celles qui lui valent les présentes poursuites. Concernant le contrat de travail produit par l’intéressé en annexe à son recours, annonçant son engagement pour une durée indéterminée auprès de B.________ Sàrl, outre que celui-ci paraît être de complaisance, il est insuffisant pour parer au risque de récidive. En effet, on peine à comprendre que le recourant ait subitement décidé de travailler dans une entreprise tenue par deux compatriotes, également domiciliés à [...], alors qu’il en avait la possibilité avant sa mise en détention. Le risque de réitération est ainsi sérieux et concret.</w:t>
      </w:r>
    </w:p>
    <w:p>
      <w:r>
        <w:rPr>
          <w:b/>
        </w:rPr>
        <w:t>E. 3.4</w:t>
      </w:r>
    </w:p>
    <w:p>
      <w:r>
        <w:t>Les motifs fondant la détention provisoire étant alternatifs, la question de l’existence d’un éventuel risque de fuite ou de collusion peut demeurer indécise, dès lors que la détention est justifiée par l’existence d’un risque de réitération.</w:t>
      </w:r>
    </w:p>
    <w:p>
      <w:r>
        <w:rPr>
          <w:b/>
        </w:rPr>
        <w:t>E. 4.1</w:t>
      </w:r>
    </w:p>
    <w:p>
      <w:r>
        <w:t>Le recourant propose à titre subsidiaire que des mesures de substitution soient ordonnées si l’existence de l’une des conditions à la détention provisoire devait être constatée par l’autorité de recours.</w:t>
      </w:r>
    </w:p>
    <w:p>
      <w:r>
        <w:rPr>
          <w:b/>
        </w:rPr>
        <w:t>E. 4.2</w:t>
      </w:r>
    </w:p>
    <w:p>
      <w:r>
        <w:t>Au vu des considérants qui précèdent, les mesures de substitution proposées par le recourant sous la forme d’un dépôt de ses papiers d’identité, d’une obligation de se présenter une fois par semaine à la Gendarmerie d’[...] et d’une assignation à résidence au domicile de sa mère à [...] au moyen d’un bracelet électronique – ne comportant pas d’émetteur GPS – durant son temps libre ne sauraient être suffisantes afin de prévenir efficacement le risque de réitération.</w:t>
      </w:r>
    </w:p>
    <w:p>
      <w:r>
        <w:rPr>
          <w:b/>
        </w:rPr>
        <w:t>E. 5</w:t>
      </w:r>
    </w:p>
    <w:p>
      <w:r>
        <w:t>Pour le surplus, le principe de la proportionnalité des intérêts en présence est respecté, ce qui, à juste titre, n’est pas contesté. Le recourant est en effet détenu provisoirement depuis le 5 avril 2015.</w:t>
      </w:r>
    </w:p>
    <w:p>
      <w:r>
        <w:rPr>
          <w:b/>
        </w:rPr>
        <w:t>E. 6</w:t>
      </w:r>
    </w:p>
    <w:p>
      <w:r>
        <w:t>En définitive, le recours, manifestement mal fondé, doit être rejeté sans autre échange d’écritures (art. 390 al. 2 CPP) et l'ordonnance du 7 avril 2015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rejeté. II. L’ordonnance du 7 avril 2015 est confirmée. III. L'indemnité allouée au défenseur d'office de R.________ est fixée à 583 fr. 20 (cinq cent huitante-trois francs et vingt centimes). IV. Les frais du présent arrêt, par 660 fr. (six cent soixante francs), ainsi que l’indemnité due au défenseur d’office de R.________, par 583 fr. 20 (cinq cent huitante-trois francs et vingt centimes), sont mis à la charge de ce dernier. V. Le remboursement à l'Etat de l'indemnité allouée au chiffre III ci-dessus sera exigible pour autant que la situation économique de R.________ se soit améliorée. VI. Le présent arrêt est exécutoire. Le président :               La greffière : Du Le présent arrêt, dont la rédaction a été approuvée à huis clos, est notifié, par l'envoi d'une copie complète, à : - Mme Roxane Mingard, avocate (pour R.________), - Ministère public central ;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