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315 vom 22. April 2015</w:t>
      </w:r>
    </w:p>
    <w:p>
      <w:r>
        <w:t>VD Tribunal cantonal, 2015-04-22, FR</w:t>
      </w:r>
    </w:p>
    <w:p>
      <w:r>
        <w:rPr>
          <w:b/>
        </w:rPr>
        <w:t xml:space="preserve">Quelle: </w:t>
      </w:r>
      <w:r>
        <w:t>https://mcp.opencaselaw.ch/entscheid/vd_findinfo_D_cision___2015___315</w:t>
      </w:r>
    </w:p>
    <w:p>
      <w:r>
        <w:t>FR: VD_FINDINFO Décision / 2015 / 315 du 22 avril 2015</w:t>
      </w:r>
    </w:p>
    <w:p>
      <w:r>
        <w:t>IT: VD_FINDINFO Décision / 2015 / 315 del 22 aprile 2015</w:t>
      </w:r>
    </w:p>
    <w:p>
      <w:pPr>
        <w:pStyle w:val="Heading2"/>
      </w:pPr>
      <w:r>
        <w:t>Regeste</w:t>
      </w:r>
    </w:p>
    <w:p>
      <w:r>
        <w:t>CLASSEMENT DE LA PROCÉDURE, VÉRIFICATION D'ÉCRITURE | 319 al. 1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En l’espèce, déposé en temps utile devant l’autorité compétente par la partie plaignante qui a qualité pour recourir (art. 382 al. 1 CPP) et interjeté de surcroît dans les formes prescrites (art. 385 al. 1 CPP), le recours est recevable.</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30 septembre 2014/710 c. 2).</w:t>
      </w:r>
    </w:p>
    <w:p>
      <w:r>
        <w:rPr>
          <w:b/>
        </w:rPr>
        <w:t>E. 2.2</w:t>
      </w:r>
    </w:p>
    <w:p>
      <w:r>
        <w:t>En l’espèce, la Procureure a classé la procédure dirigée contre A.________ au motif qu’H.________ n’avait pas participé à l’établissement des faits et que, dès lors, le comportement délictueux était insuffisamment établi. S’il est vrai que le plaignant n’a produit que les copies des documents requis, excepté le contrat d’abonnement avec la société [...] dont il a transmis l’original, le Dr G.________ a toutefois indiqué, dans sa lettre du 5 novembre 2014 , que ces documents étaient « suffisants pour réaliser l’expertise demandée », quand bien même pour effectuer celle-ci « dans les meilleures conditions, il serait souhaitable de disposer des originaux » (P. 20). Au vu de ces explications, la Procureure ne pouvait pas classer la procédure au motif que le recourant n’avait pas fourni les documents « nécessaires à la comparaison des écritures et, partant, à l’expertise graphologique » (ordonnance attaquée, p. 2, par. 1 in fine ). Cela étant et au vu des versions divergentes des parties, il se justifie de mettre en œuvre cette expertise, qui pourra apporter des éclaircissements. Compte tenu de l’attitude du plaignant, qui, comme on l’a relevé ci-avant (let. A supra) , s’est montré peu collaborant et a ainsi compliqué la procédure, la Procureure pourra subordonner l’octroi du mandat à l’expert au versement d’une avance de frais par la partie plaignante (art. 184 al. 7 CPP), lesquels ont été estimés par l’expert entre 4'500 fr. et 5'500 fr. (P. 12).</w:t>
      </w:r>
    </w:p>
    <w:p>
      <w:r>
        <w:rPr>
          <w:b/>
        </w:rPr>
        <w:t>E. 3</w:t>
      </w:r>
    </w:p>
    <w:p>
      <w:r>
        <w:t>Il résulte de ce qui précède que le recours doit être admis et l’ordonnance du 11 février 2015 annulée, le dossier de la cause étant renvoyé à la Procureure de l’arrondissement de Lausanne pour qu’elle procède dans le sens des considérants. Les frais de la procédure de recours, constitués en l'espèce uniquement de l'émolument d'arrêt, par 550 fr. (art. 20 al. 1 TFIP  [Tarif des frais de procédure et indemnités en matière pénale du 28 septembre 2010; RSV 312.03.1]), seront mis à la charge de l’intimée, qui, ayant conclu au rejet du recours (P. 32/1), succombe (art. 428 al. 1 CPP). Par ces motifs, la Chambre des recours pénale prononce : I. Le recours est admis. II. L’ordonnance du 11 février 2015 est annulée. III. Le dossier de la cause est renvoyé au Ministère public de l’arrondissement de Lausanne pour qu’il procède dans le sens des considérants. IV. Les frais de la procédure de recours, par 550 fr. (cinq cent cinquante francs), sont mis à la charge d’A.________. V. Le présent arrêt est exécutoire. Le président :               Le greffier : Du Le présent arrêt, dont la rédaction a été approuvée à huis clos, est notifié, par l'envoi d'une copie complète, à : - M. Denys Gilliéron, avocat (pour H.________), - M. Alain Dubuis, avocat (pour A.________),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