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312 vom 22. April 2015</w:t>
      </w:r>
    </w:p>
    <w:p>
      <w:r>
        <w:t>VD Tribunal cantonal, 2015-04-22, FR</w:t>
      </w:r>
    </w:p>
    <w:p>
      <w:r>
        <w:rPr>
          <w:b/>
        </w:rPr>
        <w:t xml:space="preserve">Quelle: </w:t>
      </w:r>
      <w:r>
        <w:t>https://mcp.opencaselaw.ch/entscheid/vd_findinfo_D_cision___2015___312</w:t>
      </w:r>
    </w:p>
    <w:p>
      <w:r>
        <w:t>FR: VD_FINDINFO Décision / 2015 / 312 du 22 avril 2015</w:t>
      </w:r>
    </w:p>
    <w:p>
      <w:r>
        <w:t>IT: VD_FINDINFO Décision / 2015 / 312 del 22 aprile 2015</w:t>
      </w:r>
    </w:p>
    <w:p>
      <w:pPr>
        <w:pStyle w:val="Heading2"/>
      </w:pPr>
      <w:r>
        <w:t>Regeste</w:t>
      </w:r>
    </w:p>
    <w:p>
      <w:r>
        <w:t>CONSULTATION DU DOSSIER, LIMITATION{EN GÉNÉRAL}, PROPORTIONNALITÉ, RISQUE DE COLLUSION | 101 al. 1 CPP (CH), 107 CPP (CH), 108 CPP (CH)</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Une ordonnance par laquelle le Ministère public, en qualité d’autorité investie de la direction de la procédure (cf. art. 61 let. a CPP), statue sur la consultation du dossier (art. 102 al. 1 CPP) – notamment en refusant une demande de consultation du dossier ou certaines modalités requises, ou encore en limitant la consultation, temporairement ou à certaines pièces – est ainsi susceptible de recours selon les art. 393 ss CPP (Chappuis, in : Kuhn/Jeanneret [éd.], Commentaire romand, Code de procédure pénale suisse, Bâle 2011, n. 1 ad art. 102 CPP; Rémy, in : Kuhn/Jeanneret [éd.], op. cit., n. 10 ad art. 393 CPP; Schmutz, in : Niggli/Heer/Wiprächtiger [éd.], Basler Kom­mentar, Schweizer­ische Strafprozessordnung, Jugendstrafprozess­­­ordnung,</w:t>
      </w:r>
    </w:p>
    <w:p>
      <w:r>
        <w:rPr>
          <w:b/>
        </w:rPr>
        <w:t>E. 1.2</w:t>
      </w:r>
    </w:p>
    <w:p>
      <w:r>
        <w:t>En l’espèce, interjeté en temps utile devant l’autorité compétente par des prévenus, qui ont qualité pour recourir (art. 382 al. 1 CPP), et dans les formes prescrites (art. 385 al. 1 CPP), le recours est recevable.</w:t>
      </w:r>
    </w:p>
    <w:p>
      <w:r>
        <w:rPr>
          <w:b/>
        </w:rPr>
        <w:t>E. 2</w:t>
      </w:r>
    </w:p>
    <w:p>
      <w:r>
        <w:t>e éd., Bâle 2014, n. 6 ad art. 102 CPP; Stephenson/Thiriet, in : Niggli/Heer/ Wiprächtiger [éd.], op. cit., n. 10 ad art. 393 CPP; CREP 5 janvier 2015/5; CREP 22 janvier 2014/44).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w:t>
      </w:r>
    </w:p>
    <w:p>
      <w:r>
        <w:rPr>
          <w:b/>
        </w:rPr>
        <w:t>E. 2.1</w:t>
      </w:r>
    </w:p>
    <w:p>
      <w:r>
        <w:t>L'accès au dossier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 La doctrine cite, comme exemple de « preuves principales », l'audition de témoins à charge, en particulier de la victime en cas d'infraction contre l'intégrité corporelle ou sexuelle, la récolte de pièces justificatives bancaires, une expertise médico-légale sur des questions de droit déterminantes ou une confrontation photographique, etc. (Schmutz, in: Niggli/Heer/ Wiprächtiger [éd.], op. cit., n. 15 ad art. 101 CPP). Selon la jurisprudence (TF 1B_597/2011 du 7 février 2012 c. 2, publié in SJ 2012 I 215), une confrontation entre plusieurs prévenus, nécessaire au vu des contradictions entre les déclarations des intéressés et les pièces essentielles du dossier, constitue une preuve principale permettant de refuser l'accès au dossier à l'un des prévenus. Le Tribunal fédéral a précisé que l'autorité compétente ne peut cependant différer indéfiniment la consultation du dossier sur la base de l'art. 101 al. 1 CPP, mais doit établir que l'accès au dossier est susceptible de compromettre l'instruction et exposer les preuves importantes qui doivent être administrées auparavant (TF 1B_597/2011 précité c. 2.2). Le droit à la consultation du dossier peut également être restreint au sens de l’art. 101 al. 1 CPP lorsque l’administration des preuves révèle des éléments nouveaux sur lesquels il importe d’entendre le prévenu avant qu’il en ait connaissance. Font ainsi partie de l’administration des preuves principales les auditions supplémentaires du prévenu sur les preuves nouvellement recueillies (Schmutz, op. cit, n. 15 ad art. 101 CPP). Enfin, il subsiste la possibilité de restreindre l'accès complet au dossier en application de l'art. 108 al. 1 CPP, qui prévoit que les autorités pénales peuvent restreindre le droit d’une partie à être entendue lorsqu’il y a de bonnes raisons de penser que cette partie abuse de ses droits (let. a) ou lorsque cela est nécessaire pour assurer la sécurité de personnes ou pour protéger des intérêts publics ou privés au maintien des secrets (let. b). Comme intérêts publics au maintien des secrets, la doctrine mentionne notamment le risque général de collusion, spécialement au début de l'instruction (Moreillon/Parein-Reymond, Petit Commentaire du Code de procédure pénale, Bâle 2013, n. 9 ad art. 108 CPP). En principe, le refus de consultation du dossier en raison d'un risque de collusion est justifié avant le premier interrogatoire de la personne soupçonnée (cf. art. 101 CPP; ATF 137 IV 172, JT 2012 IV 100); une fois celle-ci entendue, l'accès au dossier ne pourra lui être refusé ultérieurement que dans l'hypothèse où elle s'apprêterait à divulguer des informations à des tiers pour compliquer l'instruction (ibidem).  Dans tous les cas, il y a lieu de pondérer l’intérêt de la partie qui se prévaut de son droit d’accès au dossier, d’une part, et les intérêts publics ou privés qui s’opposent à l’exercice de ce droit, d’autre part, dans le respect du principe de la proportionnalité (Moreillon/Parein-Reymond, op. cit., n. 6 ad art. 108 CPP; Bendani, in : Kuhn/Jeanneret [éd.], op. cit., n. 7 ad art. 108 CPP; Vest/Horber, in : Niggli/Heer/Wiprächtiger [éd.], op. cit., n. 1 ad art. 108 CPP).</w:t>
      </w:r>
    </w:p>
    <w:p>
      <w:r>
        <w:rPr>
          <w:b/>
        </w:rPr>
        <w:t>E. 2.2</w:t>
      </w:r>
    </w:p>
    <w:p>
      <w:r>
        <w:t>En l'espèce, les recourants soutiennent tout d'abord que le Ministère public se livrerait à une fishing expedition (sur cette notion, cf. p. ex. CREP 15 juillet 2014/491 c. 2; CREP 16 avril 2013/332) en cherchant à entendre des personnes en l'absence de tout soupçon sur les relations de celles-ci avec les prévenus. Comme les recourants pourront le constater lorsqu'ils auront accès aux pièces dont la consultation est litigieuse, il apparaît cependant que des indices concrets donnent à penser que les personnes qui seront entendues pourraient avoir été touchées par des agissements des prévenus, de sorte que leurs déclarations seront utiles à l'enquête. Etant au surplus rappelé que l'infraction envisagée, à savoir l'escroquerie par métier, se poursuit d'office, soit sans dépôt préalable d'une plainte pénale, les actes du Ministère public ne sauraient être assimilés à une recherche indéterminée de moyens de preuve. Cela étant, il faut examiner si les conditions d'une restriction à l'accès au dossier sont réunies. Les éléments nouveaux révélés par les mesures d'instruction mises en œuvre en février 2015 sont directement en rapport avec des témoins à charge et il s'agit donc de preuves principales. La restriction d'accès au dossier intervient cependant près de deux ans après les premières auditions des prévenus, auxquelles il a été procédé aux mois de janvier et avril 2013. On ne dispose en outre d'aucun indice donnant à craindre un comportement abusif de la part des prévenus (cf. art. 108 al. 1 let. a CPP) ou rendant vraisemblable que la mesure serait nécessaire pour assurer la sécurité de personnes ou pour protéger des intérêts publics ou privés au maintien des secrets (cf. art 108 al. 1 let. b CPP). De façon générale, ni la motivation de l'ordonnance attaquée ni les déterminations du Ministère public sur le recours ne mettent en évidence de motifs concrets donnant à   penser qu'accorder aux recourants l'accès complet au dossier pourrait compromettre l'instruction. Dans ces circonstances, la restriction prononcée apparaît dispro­portionnée.</w:t>
      </w:r>
    </w:p>
    <w:p>
      <w:r>
        <w:rPr>
          <w:b/>
        </w:rPr>
        <w:t>E. 3</w:t>
      </w:r>
    </w:p>
    <w:p>
      <w:r>
        <w:t>En définitive, le recours doit être admis et l'ordonnance attaquée annulée. Les frais de la procédure de recours, constitués en l'espèce uniquement de l'émolument d’arrêt, par 770 fr. (art. 20 al. 1 TFIP [Tarif des frais de procédure et indemnités en matière pénale du 28 septembre 2010; RSV 312.03.1]), seront laissés à la charge de l'Etat (art. 428 al. 4 CPP). S’agissant des dépens réclamés par les recourants, il appartiendra le cas échéant à ces derniers d’adresser à la fin de la procédure – pour autant que les conditions d’une indemnité selon l'art. 429 al. 1 CPP soient alors remplies – leurs prétentions à l’autorité pénale compétente selon l’art. 429 al. 2 CPP (CREP 21 mars 2013/155 c. 3 et les références citées; CREP 22 août 2012/568 et la référence citée). Par ces motifs, la Chambre des recours pénale prononce : I. Le recours est admis. II. L'ordonnance du 25 mars 2015 est annulée. III. Les frais de la procédure de recours, par 770 fr. (sept cent septante francs), sont laissés à la charge de l'Etat. IV. Le présent arrêt est exécutoire. Le président :               Le greffier : Du Le présent arrêt, dont la rédaction a été approuvée à huis clos, est notifié, par l'envoi d'une copie complète, à : - M. Loïc Parein, avocat (pour A.L.________, B.L.________ et D.________),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