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311 vom 1. April 2015</w:t>
      </w:r>
    </w:p>
    <w:p>
      <w:r>
        <w:t>VD Tribunal cantonal, 2015-04-01, FR</w:t>
      </w:r>
    </w:p>
    <w:p>
      <w:r>
        <w:rPr>
          <w:b/>
        </w:rPr>
        <w:t xml:space="preserve">Quelle: </w:t>
      </w:r>
      <w:r>
        <w:t>https://mcp.opencaselaw.ch/entscheid/vd_findinfo_D_cision___2015___311</w:t>
      </w:r>
    </w:p>
    <w:p>
      <w:r>
        <w:t>FR: VD_FINDINFO Décision / 2015 / 311 du 1 avril 2015</w:t>
      </w:r>
    </w:p>
    <w:p>
      <w:r>
        <w:t>IT: VD_FINDINFO Décision / 2015 / 311 del 1 aprile 2015</w:t>
      </w:r>
    </w:p>
    <w:p>
      <w:pPr>
        <w:pStyle w:val="Heading2"/>
      </w:pPr>
      <w:r>
        <w:t>Regeste</w:t>
      </w:r>
    </w:p>
    <w:p>
      <w:r>
        <w:t>NON-LIEU, PLAINTE PÉNALE, DÉLAI LÉGAL | 31 CP, 310 CPP (CH)</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322 al. 2 CPP, applicable par renvoi de l’art. 310 al. 2 CPP,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w:t>
      </w:r>
    </w:p>
    <w:p>
      <w:r>
        <w:rPr>
          <w:b/>
        </w:rPr>
        <w:t>E. 2.2</w:t>
      </w:r>
    </w:p>
    <w:p>
      <w:r>
        <w:t>Les infractions contre l’honneur réprimées aux art. 173 ss CP (Code pénal suisse du 21 décembre 1937 ; RS 311.0) ne se poursuivent que sur plainte. Aux termes de l’art. 31 CP, le droit de porter plainte se prescrit par trois mois. Le délai court du jour où l'ayant droit a connu l'auteur de l'infraction.</w:t>
      </w:r>
    </w:p>
    <w:p>
      <w:r>
        <w:rPr>
          <w:b/>
        </w:rPr>
        <w:t>E. 2.3</w:t>
      </w:r>
    </w:p>
    <w:p>
      <w:r>
        <w:t>En l'espèce, il ressort de la plainte pénale déposée par E.________ le 20 octobre 2014 qu’il a eu connaissance des propos litigieux à tout le moins au début du mois d’avril 2014 ensuite de l’action en revendication ouverte le 21 mars 2014 par O.U.________, représenté par son curateur B.U.________, auprès du Tribunal de première instance de Genève (P. 4/15 et 4/17). Sa plainte était donc tardive, de sorte que le refus d’entrer en matière sur la plainte du 20 octobre 2014 est fondé.</w:t>
      </w:r>
    </w:p>
    <w:p>
      <w:r>
        <w:rPr>
          <w:b/>
        </w:rPr>
        <w:t>E. 3</w:t>
      </w:r>
    </w:p>
    <w:p>
      <w:r>
        <w:t>Sur le vu de ce qui précède, le recours doit être rejeté et l’ordonnance attaquée confirmée. Les frais de la procédure de recours, constitués en l’espèce de l’émolument d'arrêt (art. 422 al. 1 CPP), par 440 fr. (art. 20 al. 1 TFIP [tarif des frais de procédure et indemnités en matière pénale du 28 septembre 2010; RSV 312.03.1]) , seront mis à la charge du recourant, qui succombe (art. 428 al. 1 CPP). B.U.________, qui a obtenu gain de cause et qui a procédé avec l'assistance d'un conseil professionnel, a droit à une indemnité au sens de l'art. 429 al. 1 let. a CPP, applicable par renvoi de l’art. 436 al. 1 CPP, pour la défense raisonnable de ses intérêts dans le cadre de la présente procédure de recours. Trois heures d’activité seront retenues, sur la base d’un tarif horaire de 300 fr. (art. 26a al. 3 TFIP), débours inclus, plus un montant correspondant à la TVA, par 72 fr., soit 972 fr. au total, à la charge de l'Etat. Par ces motifs, la Chambre des recours pénale prononce : I. Le recours est rejeté. II. L'ordonnance du 16 janvier 2015 est confirmée. III. Les frais de la procédure de recours, par 440 fr. (quatre cent quarante francs), sont mis à la charge d'E.________. IV. Une indemnité de 972 fr. (neuf cent septante-deux francs) est allouée à B.U.________ pour les dépenses occasionnées par l’exercice raisonnable de ses droits de procédure dans le cadre de la procédure de recours, à la charge de l’Etat. V. Le présent arrêt est exécutoire. Le président :               La greffière : Du Le présent arrêt, dont la rédaction a été approuvée à huis clos, est notifié, par l'envoi d'une copie complète, à : - M. Christophe A. Gal, avocat (pour E.________), - M. Bernard de Chedid, avocat (pour E.________), - M. Cédric Aguet, avocat (pour B.U.________),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