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310 vom 21. April 2015</w:t>
      </w:r>
    </w:p>
    <w:p>
      <w:r>
        <w:t>VD Tribunal cantonal, 2015-04-21, FR</w:t>
      </w:r>
    </w:p>
    <w:p>
      <w:r>
        <w:rPr>
          <w:b/>
        </w:rPr>
        <w:t xml:space="preserve">Quelle: </w:t>
      </w:r>
      <w:r>
        <w:t>https://mcp.opencaselaw.ch/entscheid/vd_findinfo_D_cision___2015___310</w:t>
      </w:r>
    </w:p>
    <w:p>
      <w:r>
        <w:t>FR: VD_FINDINFO Décision / 2015 / 310 du 21 avril 2015</w:t>
      </w:r>
    </w:p>
    <w:p>
      <w:r>
        <w:t>IT: VD_FINDINFO Décision / 2015 / 310 del 21 aprile 2015</w:t>
      </w:r>
    </w:p>
    <w:p>
      <w:pPr>
        <w:pStyle w:val="Heading2"/>
      </w:pPr>
      <w:r>
        <w:t>Regeste</w:t>
      </w:r>
    </w:p>
    <w:p>
      <w:r>
        <w:t>ESCROQUERIE, CLASSEMENT DE LA PROCÉDURE | 146 CP, 319 CPP (CH), 393 al. 1 let. a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3.2</w:t>
      </w:r>
    </w:p>
    <w:p>
      <w:r>
        <w:t>En l’espèce, s’agissant du nombre de logements dans la maison, il est constant que la plaquette de présentation de la villa mentionne l’existence de trois logements, soit, en plus du logement principal, d’un studio indépendant au rez et d’un logement indépendant au sous-sol. La plaquette relève en outre expressément la possibilité de louer ces deux logements indépendants (cf. pièce 5/2, p. 3). Il ressort en outre de l’audition de B.V.________ que le logement du sous-sol était effectivement loué, ce que le recourant a pu constater lors de sa visite des lieux (PV aud. 1, R. 6, p. 3). Le prénommé admet ne jamais avoir demandé de permis de construire ni de permis d’habiter pour ce logement supplémentaire, qu’il explique avoir aménagé dans un second temps (PV aud. 1, R. 8, p. 4). A ce stade de la procédure, on ne peut donc exclure que le recourant ait effectivement été trompé sur le caractère habitable de ce troisième logement et que cette tromperie ait été astucieuse, le recourant n’ayant eu aucune raison de se méfier après avoir constaté que le propriétaire lui-même louait ce logement à un tiers. Il en a résulté un préjudice, sous la forme d’une moins-value de la maison, qu’un expert a évalué à 200'000 fr. (P. 18/2). Au vu de ce qui précède et en application du principe « in dubio pro duriore », il existe en l’état suffisamment d’éléments pour impliquer B.V.________ ainsi que sa fille, L.V.________, auteur de la plaquette de présentation précitée. L’instruction devra toutefois encore être complétée, comme le demande le recourant, par l’audition de T.________, courtier immobilier en charge du dossier au sein de G.________SA, de manière à définir son éventuelle implication. En ce qui concerne les défauts, il est vrai que la plaquette de présentation précisait que la maison était en excellent état d’entretien et qu’aucun travaux n’étaient à prévoir (P. 5/2, p. 5). S’agissant toutefois d’une maison construite en 1994 et au vu du prix demandé, tout acheteur raisonnable l’aurait fait examiner par un homme de l’art avant son acquisition, de manière à être objectivement fixé sur son état réel. Cela étant, on ignore si de plus amples garanties ou promesses ont été faites au recourant avant la signature de l’acte, les vendeurs n’ayant pas été interrogés sur ce point et le courtier T.________ n’ayant pas été entendu du tout. Par conséquent, il appartiendra à la procureure d’instruire plus avant la présente cause. Il s’agira également de compléter, le cas échéant, l’instruction sur l’existence même de ces défauts qui, même si elle paraît avérée dans la mesure où l’expert la mentionne brièvement dans son rapport (P. 18/2, p. 14), ne ressort en l’état pour l’essentiel que des déclarations du plaignant et de la demande civile qu’il a déposée devant la Chambre patrimoniale cantonale (P. 13/2).</w:t>
      </w:r>
    </w:p>
    <w:p>
      <w:r>
        <w:rPr>
          <w:b/>
        </w:rPr>
        <w:t>E. 4</w:t>
      </w:r>
    </w:p>
    <w:p>
      <w:r>
        <w:t>Il résulte de ce qui précède que le recours doit être admis, l’ordonnance attaquée annulée et le dossier de la cause renvoyé au Ministère public de l’arrondissement de Lausanne pour qu’il procède dans le sens des considérants (cf. c. 3.2 supra). Les frais de la procédure de recours, constitués de l’émolument d'arrêt, par 990 fr. (art. 20 al. 1 TFIP [Tarif des frais de procédure et indemnités en matière pénale du 28 septembre 2010, RSV 312.03.1]), seront mis à la charge de G.________SA, qui a conclu au rejet du recours et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5 décembre 2014 est annulée. III. Le dossier de la cause est renvoyé au Ministère public de l’arrondissement de Lausanne pour qu’il procède dans le sens des considérants. IV. Les frais d’arrêt, par 990 fr. (neuf cent nonante francs), sont mis à la charge de G.________SA. V. Le présent arrêt est exécutoire. Le président :               La greffière : Du Le présent arrêt, dont la rédaction a été approuvée à huis clos, est notifié, par l'envoi d'une copie complète, à : - M. Rolf Ditesheim, avocat (pour E.________), - M. Maxime Cholet, avocat (pour B.V.________ et K.V.________), - M. Laurent Damond, avocat (pour G.________SA),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