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304 vom 17. Februar 2015</w:t>
      </w:r>
    </w:p>
    <w:p>
      <w:r>
        <w:t>VD Tribunal cantonal, 2015-02-17, FR</w:t>
      </w:r>
    </w:p>
    <w:p>
      <w:r>
        <w:rPr>
          <w:b/>
        </w:rPr>
        <w:t xml:space="preserve">Quelle: </w:t>
      </w:r>
      <w:r>
        <w:t>https://mcp.opencaselaw.ch/entscheid/vd_findinfo_D_cision___2015___304</w:t>
      </w:r>
    </w:p>
    <w:p>
      <w:r>
        <w:t>FR: VD_FINDINFO Décision / 2015 / 304 du 17 février 2015</w:t>
      </w:r>
    </w:p>
    <w:p>
      <w:r>
        <w:t>IT: VD_FINDINFO Décision / 2015 / 304 del 17 febbraio 2015</w:t>
      </w:r>
    </w:p>
    <w:p>
      <w:pPr>
        <w:pStyle w:val="Heading2"/>
      </w:pPr>
      <w:r>
        <w:t>Regeste</w:t>
      </w:r>
    </w:p>
    <w:p>
      <w:r>
        <w:t>DÉCISION D'IRRECEVABILITÉ, ESCROQUERIE, ASTUCE, REJET DE LA DEMANDE | 146 CP,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auprès de l’autorité compétente par la partie plaignante qui a la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 TF 1B_111/2012 du 5 avril 2012 c. 2.1 ; Cornu, in: Kuhn/Jeanneret [éd.], Commentaire romand, Code de procédure pénale suisse, Bâle 2011, n. 2 ad art. 310 CPP) – par le ministère public lorsqu'il apparaît, à réception de la dénonciation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3.1</w:t>
      </w:r>
    </w:p>
    <w:p>
      <w:r>
        <w:t>Le recourant soutient notamment que l’infraction d’escroquerie serait réalisée du fait qu’il aurait pris toutes les précautions qu’il considérait nécessaires et raisonnables, telles que s’acquitter de la transaction par virement bancaire plutôt que par chèque.</w:t>
      </w:r>
    </w:p>
    <w:p>
      <w:r>
        <w:rPr>
          <w:b/>
        </w:rPr>
        <w:t>E. 3.2</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 ATF 122 II 422 c. 3a ;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 Dupuis et alii, Petit commentaire du Code pénal, Bâle 2012 n. 12 ad art. 146 CP).</w:t>
      </w:r>
    </w:p>
    <w:p>
      <w:r>
        <w:rPr>
          <w:b/>
        </w:rPr>
        <w:t>E. 3.3</w:t>
      </w:r>
    </w:p>
    <w:p>
      <w:r>
        <w:t>En l’espèce, les éléments constitutifs de l'escroquerie au sens de l'art. 146 CP ne sont pas réalisés et l’argumentation du Procureur est à cet égard convaincante. En effet, le type de démarche utilisé par le dénommé F.________, soit de contacter téléphoniquement le recourant pour lui proposer d’acheter des actions, était de nature à éveiller les soupçons tant ce procédé est atypique pour une opération financière. Il en va de même pour les rendements promis clairement irréalistes, de l’ordre de 27 à 29 % l’an. En outre, le recourant se devait d'être d'autant plus prudent qu’il avait déjà été démarché téléphoniquement une première fois par F.________ et avait renoncé à acheter les actions proposées ensuite de réticences liées aux diverses excuses que ce dernier lui avait données quant à la localisation des bureaux de la société et au mode de paiement proposé pour la transaction. Il avait donc déjà eu des doutes quant à la sincérité des informations transmises par son interlocuteur. O.________ aurait dû se montrer plus méfiant et se protéger en procédant aux vérifications élémentaires comme se renseigner sur la société l’ayant démarché. Il s’ensuit que le contexte des faits permet d’exclure toute escroquerie, faute de comportement astucieux de la part de F.________ ; le recourant ne démontre d’ailleurs pas dans son acte de recours l’existence d’une telle astuce.</w:t>
      </w:r>
    </w:p>
    <w:p>
      <w:r>
        <w:rPr>
          <w:b/>
        </w:rPr>
        <w:t>E. 4</w:t>
      </w:r>
    </w:p>
    <w:p>
      <w:r>
        <w:t>En définitive, le recours, manifestement mal fondé, doit être rejeté sans autres échanges d’écritures (art. 390 al. 2 CPP) et l’ordonnance de non-entrée en matière du 14 janvier 2015 confirmée. Les frais de la procédure de recours seront mis à la charge d’O.________, qui succombe (art. 428 al. 1 CPP). Il y a lieu d’arrêter ces frais à 536 fr. (cf. art. 20 al. 1 TFIP [Tarif des frais de procédure et indemnités en matière pénale du 28 septembre 2010, RSV 312.03.1]) compte tenu du versement d’un montant de 536 fr. opéré à titre de sûretés (cf. art. 7 TFIP). Par ces motifs, la Chambre des recours pénale prononce : I. Le recours est rejeté. II. L’ordonnance du 14 janvier 2015 est confirmée. III. Les frais d’arrêt, arrêtés à 536 fr. (cinq cent trente-six francs), sont mis à la charge d’O.________. IV. Les frais mis à la charge d’O.________ au chiffre III ci-dessus sont compensés avec le montant de 536 fr. (cinq cent trente-six francs) déjà versé par celui-ci à titre de sûretés. V. Le présent arrêt est exécutoire. Le président :               La greffière : Du Le présent arrêt, dont la rédaction a été approuvée à huis clos, est notifié, par l'envoi d'une copie complète, à : - M. O.________, - Ministère public central ;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