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 vom 22. Dezember 2014</w:t>
      </w:r>
    </w:p>
    <w:p>
      <w:r>
        <w:t>VD Tribunal cantonal, 2014-12-22, FR</w:t>
      </w:r>
    </w:p>
    <w:p>
      <w:r>
        <w:rPr>
          <w:b/>
        </w:rPr>
        <w:t xml:space="preserve">Quelle: </w:t>
      </w:r>
      <w:r>
        <w:t>https://mcp.opencaselaw.ch/entscheid/vd_findinfo_D_cision___2015___30</w:t>
      </w:r>
    </w:p>
    <w:p>
      <w:r>
        <w:t>FR: VD_FINDINFO Décision / 2015 / 30 du 22 décembre 2014</w:t>
      </w:r>
    </w:p>
    <w:p>
      <w:r>
        <w:t>IT: VD_FINDINFO Décision / 2015 / 30 del 22 dicembre 2014</w:t>
      </w:r>
    </w:p>
    <w:p>
      <w:pPr>
        <w:pStyle w:val="Heading2"/>
      </w:pPr>
      <w:r>
        <w:t>Regeste</w:t>
      </w:r>
    </w:p>
    <w:p>
      <w:r>
        <w:t>CLASSEMENT DE LA PROCÉDURE, ADMISSION DE LA DEMANDE, IN DUBIO PRO DURIORE |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celui qui est personnellement et immédiatement touché, c’est-à-dire celui qui est titulaire du bien juridiquement protégé touché par l’infraction (CREP 20 octobre 2014/760 c. 2.1 et les références citées). S’agissant tout d’abord de l’infraction de faux dans les titres, l’art. 251 CP (Code pénal suisse du 21 décembre 1937, RS 311.0) protège, en tant que bien juridique, la confiance accordée dans la vie juridique à un titre comme moyen de preuve (Dupuis et al., Petit Commentaire du Code pénal, Bâle 2012, n. 2 ad remarques préliminaires aux art. 251 à 257 CP). Quant à l’art. 146 CP réprimant l’escroquerie, le bien juridique protégé par cette disposition est le patrimoine (ATF 122 IV 197 c. 2c p. 203; Markus Boog, Die Rechtsprechung des Bundesgerichts zum Begriff des Vermögensschadens beim Betrug, 1991, pp. 7 s. et les auteurs cités). La personne aux dépens de laquelle est commise l'escroquerie, soit le titulaire du bien juridique protégé, est ainsi celle dont les intérêts pécuniaires sont lésés, non l'éventuel dupé (TF 6B_525/2012 du 5 novembre 2012 c. 3.3). Toutefois, en l’espèce, le montant détourné était déposé sur un compte d'A.________ SA et celle-ci avait la responsabilité de conserver l’argent déposé (TF 1P.448/2004 du 4 octobre 2004 c. 2.2). Ainsi, trompée par un ordre de virement falsifié qui l’a déterminée à verser de l’argent déposé sur un de ses comptes à un tiers, A.________ SA a un intérêt juridiquement protégé au sens défini ci-dessus et, partant, la qualité pour recourir, ce qui n’est d’ailleurs pas contesté.</w:t>
      </w:r>
    </w:p>
    <w:p>
      <w:r>
        <w:rPr>
          <w:b/>
        </w:rPr>
        <w:t>E. 1.3</w:t>
      </w:r>
    </w:p>
    <w:p>
      <w:r>
        <w:t>Par conséquent, interjeté dans le délai légal auprès de l’autorité compétente par la partie plaignante qui a qualité pour recourir (art. 382 al. 1 CPP), et dans les formes prescrites (art. 385 al. 1 CPP), le recours est recevable.</w:t>
      </w:r>
    </w:p>
    <w:p>
      <w:r>
        <w:rPr>
          <w:b/>
        </w:rPr>
        <w:t>E. 2</w:t>
      </w:r>
    </w:p>
    <w:p>
      <w:r>
        <w:t>millions de francs versés sur le compte de sa société en novembre 2008, en expliquant avoir, au printemps 2008, lors d’une exposition de produits recyclés à Munich, fait la connaissance de deux individus qui, intéressées à ses projets d’amélioration de procédés de compostage, l’auraient par la suite contacté en disant vouloir investir dans son projet pour le compte d’un tiers. Le prévenu aurait accepté que 2 millions de francs transitent par le compte de sa société ; il aurait alors conservé pour ce service une commission de 300'000 fr. et aurait transféré le solde sur le compte qui lui aurait été communiqué, soit celui de R.________ AG, société de courtage d’assurance au Liechtenstein, dont l’administrateur était [...]. Il a affirmé ignorer l’origine délictueuse des 2 millions de francs et, partant, les raisons du blocage du compte de sa société à la B.________ sur ordre du Juge d’instruction vaudois (PV aud. 1, R. 5). Le prévenu aurait donné la même version à [...], dont la société faisait l’objet d’une procédure ouverte au Liechtenstein (PV aud. 6/2, p. 4). Lors de son audition le 10 septembre 2009, V.________, assisté, a admis avoir menti pour protéger J.________, qui lui aurait trouvé une société prête à investir 2 millions de francs dans son projet, soit N.________ SA, et qui, dans ce but, lui aurait soumis pour signature un contrat entre cette dernière et C.________ AG, par la suite faussement signé par M.________ (PV aud. 10, R. 2 ; cf. ég. PV aud. 11, R. 24). Une fois ces 2 millions de francs reçus sur le compte de C.________ AG, il aurait fait exécuter, le 4 décembre 2008, l’ordre de virement remis par J.________, conservant sur son compte environ 300'000 francs. Il est significatif de relever à ce propos que V.________ a dit, au terme de cette audition, que "la répartition des 2 millions de francs s’était décidée avant que cette somme arrive sur son compte", qu’il n’aurait "jamais eu d’explication sur les raisons de cette répartition" et qu’il aurait accepté la proposition de J.________ sans même que ce dernier lui présente un plan d’investissement (PV aud. 10, R. 20). J.________ se serait, quant à lui, chargé des démarches pour constituer C.________ AG, comme il l’a lui-même expliqué lors de son audition le 23 septembre 2009 (PV aud. 11, R. 5). Il a admis que c’est lui qui aurait fait signer à V.________ le contrat liant cette société à N.________ SA, ensuite faussement signé par M.________, confirmant ainsi les déclarations de V.________ à cet égard ; il a toutefois ajouté l’avoir fait sur demande d’O.________, lequel lui aurait pour la première fois parlé de N.________ SA comme potentiel investisseur dans les activités de C.________ AG. Il a confirmé avoir remis l’ordre de virement au Liechtenstein de la somme de près de 1'700'000 fr., tout en affirmant être incapable de dire qui, entre V.________ et O.________, aurait décidé du montant de l’investissement de 2 millions de francs (R. 6). Par ailleurs, il ressort du témoignage de [...] que J.________ lui aurait indiqué faussement qu’un des clients de la B.________ souhaitait vendre des brevets relatifs au compostage (PV aud. 6/2, p. 3). Il est intéressant de remarquer sur ce point que [...] a dit s’être contenté, à l’époque, de ces explications et qu’il ne lui était "pas nécessaire de connaître le client personnellement dans la mesure où il y a[vait] un lien par le biais d’une banque suisse" et où, pour la S.________ AG, la seule condition à remplir en vue du transfert de fonds "était de connaître le but de l’utilisation de ces fonds", ce qui était le cas. Or, ces conditions étaient connues de J.________ (PV aud. 11, R. 12; P. 79/2, R. 20), qui avait d’ailleurs auparavant travaillé pour la B.________ (PV aud. 11, R. 2); il lui suffisait ainsi de produire le contrat entre C.________ AG et N.________ SA pour que la S.________ AG accepte le transfert, ce qui aurait été vraisemblablement le cas si le juge d’instruction en charge de l’affaire n’avait pas bloqué le compte de C.________ AG auprès de la B.________. Enfin, il est significatif de constater que [...], un des anciens clients de J.________, a, dans sa déposition du 17 décembre 2012, dit que ce dernier aurait pris contact avec lui peu avant son audition pour lui indiquer ce qu’il avait dit aux enquêteurs à leur sujet (PV aud. 14/2, R. 28). Concernant O.________, on relèvera tout d’abord qu’il a déjà été mis en cause dans une affaire d’escroquerie, d’abus de confiance et de faux dans les titres pour des faits survenus entre 2006 et 2007 (P. 87/1, p. 20) et qu’interrogé à ce propos par les enquêteurs vaudois le 26 octobre 2012, il a donné des explications évasives, prétextant avoir des problèmes de mémoire ensuite d’un burn-out (PV aud. 13, R. 5). Lors de cette audition, le prénommé, qui a fourni des informations tout aussi vagues sur sa situation personnelle, en particulier sur ses sociétés (P. 116, p. 4 in initio ), et a prétendu n’avoir pas de véritable domicile, a nié toute implication dans la présente affaire, indiquant n’avoir jamais vu les documents litigieux ni entendu parler de V.________, de J.________ ou des sociétés C.________ AG et N.________ SA (PV aud. 13, R. 5 à 11). Ses déclarations se heurtent toutefois à celles de [...], qui a expliqué qu’O.________ était son fiduciaire de l’époque et qu’il avait dû faire la connaissance de J.________ (PV aud. 14/2, R. 30 et 31). O.________ est d’autant moins crédible que J.________ a été en mesure de le décrire et de fournir aux enquêteurs un de ses numéros de téléphone (P. 116, pp. 4 et 5), ainsi que des informations précises quant au contexte dans lequel ils se seraient rencontrés (PV aud. 11, R. 6). Enfin, comme on l’a indiqué ci-dessus, O.________ est mis en cause par J.________ pour avoir, par son intermédiaire, fait signer à V.________ le contrat entre C.________ AG et N.________ SA ( ibidem ). Au vu de ce qui précède, comme la recourante le soutient à juste titre, il existe des éléments suffisants pour retenir l’implication des trois prévenus dans les faits dénoncés dans sa plainte et, partant, pour les mettre en accusation, en vertu du principe in dubio pro duriore . En particulier, V.________ n’avait aucune raison valable de mentir à [...], puis aux enquêteurs, à propos de l’implication de J.________ dans cette affaire, s’il n’avait rien à se reprocher. On relèvera d’ailleurs à ce propos que dans sa première audition, V.________ a lui-même admis avoir "pensé qu’il y avait peut-être quelque chose de pas correct dans cette affaire" (PV aud. 1, R. 6). A cela s’ajoute, comme on l’a vu, que l’intéressé a affirmé avoir accepté le deal sans même qu’un plan d’investissement lui soit présenté, ce qui laisse songeur, et qu’il a perçu une commission d’environ 300'000 fr. pour ses services, ce qui, selon ses dires, lui aurait permis de relancer ses affaires, en proie à des difficultés financières ( ibidem ). L’explication de J.________ selon laquelle il ignorait participer au montage et à l’exécution d’une opération frauduleuse n’est, à ce stade, pas non plus crédible, si l’on considère que le prévenu, qui avait travaillé, dans le passé, pour la B.________, a admis s’être occupé de la création du compte au Liechtenstein, avoir rédigé le contrat ayant servi de faux et avoir remis l’ordre de virement de la somme de près de 1'700'000 francs. Enfin et surtout, les dénégations d’O.________, qui s’est dit totalement étranger à cette affaire, ne sont pas convaincantes, au vu en particulier de sa mise en cause par ses co-prévenus et par [...]. Ainsi, si les versions des divers protagonistes de cette affaire divergent sur certains points, les éléments à charge sont toutefois suffisamment importants pour que les chances d’une condamnation soient au moins égales à celles d’un acquittement (cf. c. 2.1 supra ). Il s’ensuit que le Procureur est tenu de dresser un acte d’accusation dirigé contre les prévenus. Il n’est pas utile de subordonner la mise en accusation aux résultats d’une audience de confrontation – telle que requise par la recourante –, au risque de retarder encore le jugement de cette affaire, dont l’instruction a été ouverte en 2008. Il appartiendra le cas échéant au tribunal de mettre en œuvre cette confrontation.</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2.2</w:t>
      </w:r>
    </w:p>
    <w:p>
      <w:r>
        <w:t>En l’espèce, il n’est pas contesté qu’un ordre de virement falsifié a été remis à A.________ SA, que celle-ci l’a exécuté, versant la somme de 2 millions de francs appartenant à N.________ SA sur le compte d’un tiers auquel l’argent n’était pas destiné, et que ces faits sont constitutifs de faux dans les titres et d’escroquerie. Le débat porte sur l’implication des prévenus dans ces faits. V.________ et J.________ soutiennent en bref avoir agi comme intermédiaires sans savoir qu’il participaient à une escroquerie, alors qu’O.________ se dit totalement étranger à cette affaire. S’agissant tout d’abord du prévenu V.________, on relèvera, sur la base des indications – non contestées – fournies par la Procureure (ordonnance attaquée, p. 2), que le prénommé était l’administrateur unique de la société C.________ AG sur le compte de laquelle a été versé le montant détourné. Ainsi que la Procureure l’a indiqué, le prévenu a, dans un premier temps, donné une version fantaisiste aux enquêteurs quant à la provenance des</w:t>
      </w:r>
    </w:p>
    <w:p>
      <w:r>
        <w:rPr>
          <w:b/>
        </w:rPr>
        <w:t>E. 3</w:t>
      </w:r>
    </w:p>
    <w:p>
      <w:r>
        <w:t>Il résulte de ce qui précède que le recours doit être admis, l’ordonnance de classement du 28 mai 2014 annulée et le dossier de la cause renvoyé au Ministère public de l’arrondissement de La Côte pour qu’il procède dans le sens des considérants. Les frais de la procédure de recours, constitués en l’espèce de l’émolument d'arrêt, par 1'100 fr. (art. 20 al. 1 TFIP [Tarif des frais de procédure et indemnités en matière pénale du 28 septembre 2010; RSV 312.03.1]), seront mis à la charge de l’intimé O.________, qui, ayant conclu au rejet du recours (P. 143/1), succombe (art.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28 mai 2014 est annulée. III. Le dossier de la cause est renvoyé au Ministère public de l’arrondissement de La Côte pour qu’il procède dans le sens des considérants. IV. Les frais d'arrêt, par 1'100 fr. (mille cent francs), sont mis à la charge d’O.________. V. Le présent arrêt est exécutoire. Le président :               Le greffier : Du Le présent arrêt, dont la rédaction a été approuvée à huis clos, est notifié, par l'envoi d'une copie complète, à : ‑ M. Nicolas Gillard, avocat (pour A.________ SA), - M. J.________, - M. Pierre-Dominique Schupp, avocat (pour O.________), - M. Josef Dettling, avocat (pour V.________), - N.________ SA,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