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295 vom 27. März 2015</w:t>
      </w:r>
    </w:p>
    <w:p>
      <w:r>
        <w:t>VD Tribunal cantonal, 2015-03-27, FR</w:t>
      </w:r>
    </w:p>
    <w:p>
      <w:r>
        <w:rPr>
          <w:b/>
        </w:rPr>
        <w:t xml:space="preserve">Quelle: </w:t>
      </w:r>
      <w:r>
        <w:t>https://mcp.opencaselaw.ch/entscheid/vd_findinfo_D_cision___2015___295</w:t>
      </w:r>
    </w:p>
    <w:p>
      <w:r>
        <w:t>FR: VD_FINDINFO Décision / 2015 / 295 du 27 mars 2015</w:t>
      </w:r>
    </w:p>
    <w:p>
      <w:r>
        <w:t>IT: VD_FINDINFO Décision / 2015 / 295 del 27 marzo 2015</w:t>
      </w:r>
    </w:p>
    <w:p>
      <w:pPr>
        <w:pStyle w:val="Heading2"/>
      </w:pPr>
      <w:r>
        <w:t>Regeste</w:t>
      </w:r>
    </w:p>
    <w:p>
      <w:r>
        <w:t>DÉCISION D'IRRECEVABILITÉ, GARDE DU COURRIER | 385 CPP (CH)</w:t>
      </w:r>
    </w:p>
    <w:p>
      <w:pPr>
        <w:pStyle w:val="Heading2"/>
      </w:pPr>
      <w:r>
        <w:t>Erwägungen</w:t>
      </w:r>
    </w:p>
    <w:p>
      <w:r>
        <w:rPr>
          <w:b/>
        </w:rPr>
        <w:t>E. 1.1</w:t>
      </w:r>
    </w:p>
    <w:p>
      <w:r>
        <w:t>Aux termes de l'art. 385 al. 1 CPP, si le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w:t>
      </w:r>
    </w:p>
    <w:p>
      <w:r>
        <w:rPr>
          <w:b/>
        </w:rPr>
        <w:t>E. 1.2</w:t>
      </w:r>
    </w:p>
    <w:p>
      <w:r>
        <w:t>L’art. 85 al. 4 let a CPP prévoit qu’un prononcé est réputé notifié lorsque, expédié par lettre signature, il n’a pas été retiré dans les sept jours à compter de la tentative infructueuse de remise du pli, si la personne concernée devait s’attendre à une telle remise.</w:t>
      </w:r>
    </w:p>
    <w:p>
      <w:r>
        <w:rPr>
          <w:b/>
        </w:rPr>
        <w:t>E. 1.3</w:t>
      </w:r>
    </w:p>
    <w:p>
      <w:r>
        <w:t>En l’espèce, W.________ devait s’attendre à recevoir des notifications, au vu de la douzaine de recours qu’il a déposés auprès de la Chambre des recours pénale en quelques semaines. Il y a dès lors lieu d'appliquer le principe énoncé à l’art. 85 al. 4 let. a CPP, cela même si le recourant a formulé à l’Office de poste une demande de garde de courrier jusqu’au 30 avril 2015. En effet, une telle demande ne permettait pas de repousser la notification de l’acte judiciaire, réputée intervenue à l’échéance du délai de garde (ATF 134 V 49 c. 4; TF 1B_252/2012 du 3 juillet 2012 c. 2; cf. aussi ATF 127 I 31 c. 2b). Par conséquent, l’avis du 11 mars 2015, impartissant au prénommé un délai au 23 mars 2015 pour la mise en conformité de son recours, doit être réputée notifiée en application de l’art. 85 al. 4 let. a CPP. Or, dans ce délai, W.________ n’a pas fait parvenir à la cour de céans la décision contre laquelle il entendait recourir ni complété son acte pour le rendre conforme aux exigences de forme prévues à l'art. 385 al. 1 CPP. Il n’y a donc pas lieu d’entrer en matière.</w:t>
      </w:r>
    </w:p>
    <w:p>
      <w:r>
        <w:rPr>
          <w:b/>
        </w:rPr>
        <w:t>E. 2</w:t>
      </w:r>
    </w:p>
    <w:p>
      <w:r>
        <w:t>Il résulte de ce qui précède que le recours doit être déclaré irrecevable, sans autre échange d’écritures (art. 390 al. 2 CPP). Les frais de la procédure de recours, constitués en l'espèce du seul émolument d'arrêt, par 330 fr. (art. 422 al. 1 CPP et 20 al. 1 TFIP [Tarif des frais de procédure et indemnités en matière pénale du 28 septembre 2010; RSV 312.03.1]), seront mis à la charge du recourant, qui succombe (art. 428 al. 1 CPP). Le présent arrêt sera notifié uniquement à l’avocat François Pidoux, défenseur d’office du recourant, quand bien même celui-ci a recouru seul. En effet, si les parties sont pourvues d’un conseil juridique, les communications sont valablement notifiées à celui-ci (art. 87 al. 3 CPP ; JT 2012 III 146). Par ces motifs, la Chambre des recours pénale prononce : I. Le recours est irrecevable. II. Les frais de la procédure de recours, par 330 fr. (trois cent trente francs), sont mis à la charge de W.________. III. Le présent arrêt est exécutoire. Le président :               La greffière : Du Le présent arrêt, dont la rédaction a été approuvée à huis clos, est notifié, par l'envoi d'une copie complète, à : - M. François Pidoux, avocat (pour W.________),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