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294 vom 13. April 2015</w:t>
      </w:r>
    </w:p>
    <w:p>
      <w:r>
        <w:t>VD Tribunal cantonal, 2015-04-13, FR</w:t>
      </w:r>
    </w:p>
    <w:p>
      <w:r>
        <w:rPr>
          <w:b/>
        </w:rPr>
        <w:t xml:space="preserve">Quelle: </w:t>
      </w:r>
      <w:r>
        <w:t>https://mcp.opencaselaw.ch/entscheid/vd_findinfo_D_cision___2015___294</w:t>
      </w:r>
    </w:p>
    <w:p>
      <w:r>
        <w:t>FR: VD_FINDINFO Décision / 2015 / 294 du 13 avril 2015</w:t>
      </w:r>
    </w:p>
    <w:p>
      <w:r>
        <w:t>IT: VD_FINDINFO Décision / 2015 / 294 del 13 aprile 2015</w:t>
      </w:r>
    </w:p>
    <w:p>
      <w:pPr>
        <w:pStyle w:val="Heading2"/>
      </w:pPr>
      <w:r>
        <w:t>Regeste</w:t>
      </w:r>
    </w:p>
    <w:p>
      <w:r>
        <w:t>DÉCISION D'IRRECEVABILITÉ, DÉLAI DE RECOURS, DÉLAI DE GARDE | 85 al. 4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Le recourant doit déposer son recours dans le délai, sous peine d’irrecevabilité de son acte (Calame, op. cit., n. 4 ad art. 384 CPP). Les autorités pénales notifient leurs prononcés par lettre signature ou par tout autre mode de communication impliquant un accusé de réception, notamment par l'entremise de la police (art. 85 al. 2 CPP). Le prononcé est également réputé notifié lorsque, expédié par lettre signature, il n'a pas été retiré dans les sept jours à compter de la tentative infructueuse de remise du pli, si la personne concernée devait s'attendre à une telle remise (art. 85 al. 4 let. a CPP). Cela s’applique également si le destinataire a fait une demande de garde de courrier. Dans ce cas, un envoi est considéré comme notifié le dernier jour d’un délai de sept jours dès la réception du pli à l’office de poste du domicile du destinataire, si ce dernier devait s’attendre à sa distribution, et non à l’échéance du délai de retenue du courrier. Le délai n’est ainsi pas prolongé lorsque la Poste permet à ses clients de retirer le courrier dans un délai plus long, par exemple ensuite d’une demande de garde (Macaluso/Toffel, in : Kuhn/Jeanneret [éd.], op. cit., n. 32 ad art. 85 CPP ; ATF 134 V 49 ; ATF 127 I 31 c. 2b, JT 2001 I 727 ; ATF 123 III 492, JT 1999 II 109). Enfin, la fiction de la notification à l’échéance d’un délai de sept jours n’intervient que si le destinataire devait s’attendre à la remise d’un pli, conformément à l’art. 85 al. 4 CPP précité, ce qui est le cas, selon la jurisprudence, dès l'ouverture de la procédure. C'est un devoir procédural qui vaut pour toute la durée de la procédure et qui impose aux parties de se comporter conformément aux règles de la bonne foi (Macaluso/Toffel, op. cit., n. 33 ad art. 85 CPP ; TF 6B_1088/2013 du 12 mai 2014 c. 1.2 ; TF 6B_70/2011 du 1 er juillet 2011 c. 2.2.3 ; ATF 130 III 396 c. 1.2.3). Ainsi,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 4b/aa p. 94; cf. aussi ATF 123 III 492 précité).</w:t>
      </w:r>
    </w:p>
    <w:p>
      <w:r>
        <w:rPr>
          <w:b/>
        </w:rPr>
        <w:t>E. 1.3</w:t>
      </w:r>
    </w:p>
    <w:p>
      <w:r>
        <w:t>En l’espèce, C.________, qui devait s’attendre à recevoir l’ordonnance de classement entreprise, compte tenu de l’avis de prochaine clôture du 10 décembre 2014, comme il l’a d’ailleurs lui-même admis (P. 79), n’a, dans sa lettre du 18 novembre 2014 à laquelle il se réfère dans son recours, pas annoncé qu’il serait absent jusqu’à la mi-mars 2015, contrairement à ce qu’il prétend, mais il a indiqué qu’il relèverait « ponctuellement » son courrier (P. 79, p. 2 in fine ). Il ne conteste du reste pas avoir eu connaissance de l’ordonnance litigieuse, mais soutient uniquement que celle-ci aurait été gardée « poste restante ». Or même si l’on admet que l’ordonnance attaquée, approuvée par le Procureur général le 28 janvier 2015 et notifiée aux parties le</w:t>
      </w:r>
    </w:p>
    <w:p>
      <w:r>
        <w:rPr>
          <w:b/>
        </w:rPr>
        <w:t>E. 3</w:t>
      </w:r>
    </w:p>
    <w:p>
      <w:r>
        <w:t>février 2015 selon le procès-verbal des opérations, est arrivée à l’office de distribution du domicile du prénommé trois jours plus tard, soit le 6 février 2015, et qu’elle a été gardée à la poste jusqu’au 16 mars 2015, conformément à une demande de garde de courrier du 12 décembre 2014 (P. 83, annexe), le délai de recours a commencé à courir le lendemain du délai de garde de sept jours prévu par l’art. 85 al. 4 let. a CPP, soit le 14 février 2015, et non à la fin du délai de retenue du courrier fixé par la Poste au recourant (c. 1.2 supra ), de sorte qu’il arrivait à échéance au plus tard le 23 février 2015. Daté du 15 mars 2015 et posté le lendemain, le recours est manifestement tardif et, partant, irrecevable. 2. Il résulte de ce qui précède que le recours, manifestement irrecevable, doit être écarté sans autres échanges d’écritures (art. 390 al. 2 CPP), et l’ordonnance du 26 janvier 2015 maintenue. Les frais de la procédure de recours, constitués en l'espèce du seul émolument d'arrêt, par 550 fr. (art. 20 al. 1 TFIP [tarif des frais de procédure et indemnités en matière pénale du 28 septembre 2010; RSV 312.03.01]), seront mis à la charge du recourant, qui succombe (art. 428 al. 1 CPP). Par ces motifs, la Chambre des recours pénale prononce : I. Le recours est irrecevable. II. Les frais de la procédure de recours, par 550 fr. (cinq cent cinquante francs), sont mis à la charge de C.________. III. Le présent arrêt est exécutoire. Le président :               Le greffier : Du L'arrêt qui précède, dont la rédaction a été approuvée à huis clos, est notifié, par l'envoi d'une copie complète, à : - M. C.________, - M. Samuel Thétaz, avocat (pour H.________ et 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