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293 vom 14. April 2015</w:t>
      </w:r>
    </w:p>
    <w:p>
      <w:r>
        <w:t>VD Tribunal cantonal, 2015-04-14, FR</w:t>
      </w:r>
    </w:p>
    <w:p>
      <w:r>
        <w:rPr>
          <w:b/>
        </w:rPr>
        <w:t xml:space="preserve">Quelle: </w:t>
      </w:r>
      <w:r>
        <w:t>https://mcp.opencaselaw.ch/entscheid/vd_findinfo_D_cision___2015___293</w:t>
      </w:r>
    </w:p>
    <w:p>
      <w:r>
        <w:t>FR: VD_FINDINFO Décision / 2015 / 293 du 14 avril 2015</w:t>
      </w:r>
    </w:p>
    <w:p>
      <w:r>
        <w:t>IT: VD_FINDINFO Décision / 2015 / 293 del 14 aprile 2015</w:t>
      </w:r>
    </w:p>
    <w:p>
      <w:pPr>
        <w:pStyle w:val="Heading2"/>
      </w:pPr>
      <w:r>
        <w:t>Regeste</w:t>
      </w:r>
    </w:p>
    <w:p>
      <w:r>
        <w:t>DÉTENTION POUR DES MOTIFS DE SÛRETÉ, RISQUE DE FUITE, PROPORTIONNALITÉ, VOL{DROIT PÉNAL}, PAR MÉTIER, AFFILIATION À UNE BANDE |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par le détenu devant l’autorité compétente et satisfaisant aux conditions de forme posées par l’art.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A l’instar de la mise en détention provisoire, le placement en détention pour des motifs de sûreté n’est possible que s’il existe, préalablement à toute autre cause, de graves soupçons de culpabilité d’avoir commis un crime ou un délit à l’égard de l’auteur présumé (ATF 139 IV 186 c. 2 ; Schmocker, in : Kuhn/Jeanneret [éd.], Commentaire romand, Code de procédure pénale suisse, Bâle 2011, nn. 7 ss ad art. 221 CPP, pp. 1024 ss) .</w:t>
      </w:r>
    </w:p>
    <w:p>
      <w:r>
        <w:rPr>
          <w:b/>
        </w:rPr>
        <w:t>E. 2.2</w:t>
      </w:r>
    </w:p>
    <w:p>
      <w:r>
        <w:t>En l’espèce, au vu des éléments figurant au dossier, en particulier des déclarations de K.________ et de son comparse, qui, dès leur première audition, ont reconnu pour l’essentiel les faits qui leur étaient reprochés, ainsi que de la découverte, dans la voiture occupée par les prévenus au moment de leur interpellation, de treize sacs poubelles contenant de nombreux objets neufs, notamment des parfums, des couteaux suisses, des voitures miniatures, des clés USB et des habits, dont certains avec leur emballage d’origine, c’est à juste titre que le recourant ne conteste pas l’existence de soupçons suffisants. C’est précisément en raison de tels soupçons que la mise en accusation du recourant a été prononcée (cf. art. 324 al. 1 CPP).</w:t>
      </w:r>
    </w:p>
    <w:p>
      <w:r>
        <w:rPr>
          <w:b/>
        </w:rPr>
        <w:t>E. 3</w:t>
      </w:r>
    </w:p>
    <w:p>
      <w:r>
        <w:t>K.________ conteste l’existence d’un risque de fuite et s’engage à déposer ses papiers d’identité et à se présenter régulièrement à un poste de police afin d’« assurer sa présence lors de l’audience du mois de juin 2015 » (recours, p. 3).</w:t>
      </w:r>
    </w:p>
    <w:p>
      <w:r>
        <w:rPr>
          <w:b/>
        </w:rPr>
        <w:t>E. 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 ibidem ).</w:t>
      </w:r>
    </w:p>
    <w:p>
      <w:r>
        <w:rPr>
          <w:b/>
        </w:rPr>
        <w:t>E. 3.2</w:t>
      </w:r>
    </w:p>
    <w:p>
      <w:r>
        <w:t>En l’espèce, le recourant, ressortissant géorgien sans domicile connu, ne peut se prévaloir d’aucune attache avec la Suisse ; il était d’ailleurs de passage dans notre pays lors des faits incriminés. Dans ces conditions, il y a fort à craindre qu'il tente de se soustraire aux conséquences pénales de ses actes en se réfugiant à l’étranger ou en disparaissant dans la clandestinité. Le risque de fuite est dès lors réalisé. Au surplus, le fait que le recourant s’engage à se présenter régulièrement à un poste de police et à déposer ses papiers d’identité ne suffit pas à garantir réellement sa présence devant les juges lors des débats du 22 juin 2015. Aucune mesure de substitution n’est susceptible de prévenir le risque de fuite.</w:t>
      </w:r>
    </w:p>
    <w:p>
      <w:r>
        <w:rPr>
          <w:b/>
        </w:rPr>
        <w:t>E. 4</w:t>
      </w:r>
    </w:p>
    <w:p>
      <w:r>
        <w:t>Le recourant invoque une violation du principe de la proportionnalité.</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contrairement à ce que prétend K.________, les circonstances aggravantes du métier et de la bande reposent sur des indices suffisants. En effet, des listes sur lesquelles figuraient, avec une numérotation continue, les adresses des magasins [...] situés entre Bâle et le Valais ont été retrouvées dans le véhicule des prévenus lors de leur interpellation (rapport d’investigation du 18 décembre 2014, p. 4 ; P. 29/2 à 29/5), ce qui laisse supposer que l’activité délictuelle ne se serait pas limitée au seul canton de Vaud, comme le prétend le recourant (recours, p. 4), mais s’étendrait de la frontière allemande au Chablais, correspondant au parcours suivi par les intéressés. Les déclarations du prénommé selon lesquelles il ne savait pas à l’avance où se trouvaient les magasins en question se heurtent d’ailleurs à celles de son comparse (PV aud. du 12 décembre 2014, p. 3 in fine ), de sorte qu’elles sont peu crédibles ; il en va de même des explications selon lesquelles c’est par hasard qu’il aurait rencontré son complice en Suisse. A cela s’ajoute l’importance du butin amassé en seulement trois jours ; à cet égard, les propos tenus par le recourant quant à l’existence d’un certain « [...] », qui lui aurait remis la plupart des objets retrouvés dans le véhicule, sont vagues et contradictoires et ne sont confirmés par aucune pièce du dossier. Au vu de tous ces éléments et du procédé élaboré par les comparses pour parvenir à leurs fins, les circonstances aggravantes du métier et de la bande sont susceptibles d’être retenues par le tribunal . Le 22 juin 2015, date fixée pour l’audience de jugement, K.________ aura été détenu pendant un peu plus de sept mois. Compte tenu des charges qui pèsent sur lui, il s'expose à une peine privative de liberté d’une durée supérieure à celle de la détention qu’il aura subie au moment du jugement, étant rappelé à cet égard que sauf circonstances exceptionnelles, l'absence d'antécédents a un effet neutre sur la fixation de la peine et n'a donc plus à être prise en considération dans un sens atténuant (ATF 136 IV 1 c. 2.6.4). Le principe de la proportionnalité, sous l’angle de la durée de la détention avant jugement (art. 212 al. 3 CPP), est donc respecté.</w:t>
      </w:r>
    </w:p>
    <w:p>
      <w:r>
        <w:rPr>
          <w:b/>
        </w:rPr>
        <w:t>E. 5</w:t>
      </w:r>
    </w:p>
    <w:p>
      <w:r>
        <w:t>En définitive, le recours se révèle manifestement mal fondé, de sorte qu'il doit être rejeté et l'ordonnance attaquée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K.________ ne sera toutefois exigible que pour autant que la situation économique de ce dernier se soit améliorée (art. 135 al. 4 CPP). Par ces motifs, la Chambre des recours pénale prononce : I. Le recours est rejeté. II. L’ordonnance du 27 mars 2015 est confirmée. III. L’indemnité allouée au défenseur d'office de K.________ est fixée à 583 fr. 20 (cinq cent huitante-trois francs et vingt centimes). IV. Les frais du présent arrêt, par 770 fr. (sept cent septante francs), ainsi que l’indemnité due au défenseur d’office de K.________, par 583 fr. 20 (cinq cent huitante-trois francs et vingt centimes), sont mis à la charge de ce dernier. V. Le remboursement à l'Etat de l'indemnité allouée au chiffre III ci-dessus ne sera exigible que pour autant que la situation économique de K.________ se soit améliorée. VI. Le présent arrêt est exécutoire. Le président :               Le greffier : Du Le présent arrêt, dont la rédaction a été approuvée à huis clos, est notifié, par l'envoi d'une copie complète, à : - Mme Claire Charton, avocate (pour K.________), - Ministère public central, et communiqué à : - Mme la Présidente du Tribunal des mesures de contrainte, - Mme la Procureure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