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290 vom 13. April 2015</w:t>
      </w:r>
    </w:p>
    <w:p>
      <w:r>
        <w:t>VD Tribunal cantonal, 2015-04-13, FR</w:t>
      </w:r>
    </w:p>
    <w:p>
      <w:r>
        <w:rPr>
          <w:b/>
        </w:rPr>
        <w:t xml:space="preserve">Quelle: </w:t>
      </w:r>
      <w:r>
        <w:t>https://mcp.opencaselaw.ch/entscheid/vd_findinfo_D_cision___2015___290</w:t>
      </w:r>
    </w:p>
    <w:p>
      <w:r>
        <w:t>FR: VD_FINDINFO Décision / 2015 / 290 du 13 avril 2015</w:t>
      </w:r>
    </w:p>
    <w:p>
      <w:r>
        <w:t>IT: VD_FINDINFO Décision / 2015 / 290 del 13 aprile 2015</w:t>
      </w:r>
    </w:p>
    <w:p>
      <w:pPr>
        <w:pStyle w:val="Heading2"/>
      </w:pPr>
      <w:r>
        <w:t>Regeste</w:t>
      </w:r>
    </w:p>
    <w:p>
      <w:r>
        <w:t>DÉTENTION POUR DES MOTIFS DE SÛRETÉ, RISQUE DE FUITE, PROPORTIONNALITÉ | 212 al. 3 CPP (CH), 221 al. 1 let. a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En l’espèce, les conditions de la détention énumérées à l'art. 221 CPP ne sont pas litigieuses, l'existence de charges suffisantes et d'un risque de fuite n'étant au demeurant pas contestée. Le recourant critique en revanche la proportionnalité de la détention ordonnée pour des motifs de sûreté, notamment parce que la circonstance de la bande ne serait pas réalisée.</w:t>
      </w:r>
    </w:p>
    <w:p>
      <w:r>
        <w:rPr>
          <w:b/>
        </w:rPr>
        <w:t>E. 2.2</w:t>
      </w:r>
    </w:p>
    <w:p>
      <w:r>
        <w:t>En vertu des art. 31 al. 3 Cst. (Constitution fédérale de la Confédération suisse du 18 avril 1999; RS 101) et 5 par. 3 CEDH (Convention du 4 novembre 1950 de sauvegarde des droits de l’homme et des libertés fondamentales; RS 0.101),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qui est notamment violé lorsque la durée de la détention avant jugement dépasse la durée probable de la peine privative de liberté à laquelle il faut s'attendre (art. 212 al. 3 CPP). Selon la jurisprudence, dans l'examen de la proportionnalité de la durée de la détention, il y a lieu de prendre en compte la gravité des infractions faisant l'objet de l'instruction. Le juge peut maintenir la détention avant jugement aussi longtemps qu'elle n'est pas très proche de la durée de peine privative de liberté à laquelle il faut s'attendre concrètement en cas de condamnation (TF 1B_411/2011 du 31 août 2011 c. 4.1; ATF 133 I 168 c. 4.1; ATF 132 I 21 c. 4.1). En l’espèce, X.________ est détenu depuis le 8 octobre 2014, soit depuis un peu plus de six mois. Il est prévenu de vol en bande (art. 139 ch. 3 CP [Code pénal suisse du 21 décembre 1937; RS 311.0]), infraction passible d’une peine privative de dix ans au plus, et renvoyé en jugement devant le Tribunal de police de l'arrondissement de La Broye et Nord vaudois, selon l'accusation engagée par le Ministère public le 17 mars 2015. Les débats sont fixés au 3 juin 2015. Le prévenu a admis une partie des faits retenus à sa charge et, au vu son antécédent, il s'expose à une peine privative de liberté encore compatible avec l'ensemble des jours de détention qu'il aura subis au jour de l'audience. Les infractions ont d'ailleurs été commises sur une période très courte (3 semaines), ce qui dénote une activité délictueuse soutenue. Le recourant ne saurait au demeurant se prévaloir d'une égalité de traitement avec son comparse, dont la situation personnelle et l'activité délictueuse ne sont pas identiques. Enfin, comme le recourant le relève lui-même dans son mémoire, la possibilité de l'octroi du sursis ou d'une libération conditionnelle n'a pas à être prise en compte dans le cadre de l'examen de la proportionnalité d'une détention provisoire (TF 1B_230/2014 du 16 juillet 2014, c. 2.1 et les réf. citées).</w:t>
      </w:r>
    </w:p>
    <w:p>
      <w:r>
        <w:rPr>
          <w:b/>
        </w:rPr>
        <w:t>E. 3</w:t>
      </w:r>
    </w:p>
    <w:p>
      <w:r>
        <w:t>En définitive, le recours, manifestement mal fondé, doit être rejeté sans autre échange d’écritures (art. 390 al. 2 CPP) et l'ordonnance du 24 mars 2015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du recourant (art. 422 al. 1 et 2 let. a CPP), fixés à 540 fr., plus la TVA par 43 fr. 20, soit à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mars 2015 est confirmée. III. L'indemnité allouée au défenseur d'office de X.________ est fixée à 583 fr. 20 (cinq cent huitante-trois francs et vingt centimes). IV . Les frais du présent arrêt, par 660 fr. (six cent soixante francs), ainsi que l'indemnité due au défenseur d'office de X.________ selon le chiffre III ci-dessus, sont mis à la charge du recourant. V. Le remboursement à l'Etat de l'indemnité allouée au chiffre III ci-dessus sera exigible pour autant que la situation de X.________ se soit améliorée. VI. Le présent arrêt est exécutoire. Le président :               La greffière : Du Le présent arrêt, dont la rédaction a été approuvée à huis clos, est notifié, par l'envoi d'une copie complète, à : - M. Pritam Singh, avocat (pour X.________), - Ministère public central, et communiqué à : - Mme la Présidente du Tribunal des mesures de contrainte, - Mme la Procureure itinérante de l'arrondissement du Nord vaudois, -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