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289 vom 13. April 2015</w:t>
      </w:r>
    </w:p>
    <w:p>
      <w:r>
        <w:t>VD Tribunal cantonal, 2015-04-13, FR</w:t>
      </w:r>
    </w:p>
    <w:p>
      <w:r>
        <w:rPr>
          <w:b/>
        </w:rPr>
        <w:t xml:space="preserve">Quelle: </w:t>
      </w:r>
      <w:r>
        <w:t>https://mcp.opencaselaw.ch/entscheid/vd_findinfo_D_cision___2015___289</w:t>
      </w:r>
    </w:p>
    <w:p>
      <w:r>
        <w:t>FR: VD_FINDINFO Décision / 2015 / 289 du 13 avril 2015</w:t>
      </w:r>
    </w:p>
    <w:p>
      <w:r>
        <w:t>IT: VD_FINDINFO Décision / 2015 / 289 del 13 aprile 2015</w:t>
      </w:r>
    </w:p>
    <w:p>
      <w:pPr>
        <w:pStyle w:val="Heading2"/>
      </w:pPr>
      <w:r>
        <w:t>Regeste</w:t>
      </w:r>
    </w:p>
    <w:p>
      <w:r>
        <w:t>DÉTENTION PROVISOIRE, LOI FÉDÉRALE SUR LES STUPÉFIANTS ET LES SUBSTANCES PSYCHOTROPES, RISQUE DE COLLUSION | 19 ch. 2 LStup, 19a LStup, 221 al. 1 let. b CPP (CH)</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notamment attaquer devant l’autorité de recours les décisions ordonnant une mise en détention provisoire (CREP 19 février 2015/140 ; CREP 12 février 2015/114).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 RSV 312.01] ; art. 80 LOJV [loi d’organisation judiciaire ; RS 173.01]). En l’espèce, le recours a été interjeté en temps utile devant l’autorité compétente, par le détenu qui a qualité pour recourir (cf. art. 382 al. 1 CPP) et dans les formes prescrites (cf. art. 385 al. 1 CPP), de sorte qu’il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provisoire ne doit pas durer plus longtemps que la peine privative de liberté prévisible (art. 212 al.</w:t>
      </w:r>
    </w:p>
    <w:p>
      <w:r>
        <w:rPr>
          <w:b/>
        </w:rPr>
        <w:t>E. 2.2</w:t>
      </w:r>
    </w:p>
    <w:p>
      <w:r>
        <w:t>La mise en détention provisoire n’est possible que s’il existe à l’égard de l’auteur présumé, et préalablement à toute autre cause, de graves soupçons de culpabilité d’avoir commis un crime ou un délit (ATF 139 IV 186 c. 2 ; Schmocker, in : Kuhn/Jeanneret [éd.], Commentaire romand, Code de procédure pénale suisse, Bâle 2011, nn. 7 ss ad art. 221 CPP). Il n’appartient cependant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 TF 1B_39/2014 du 11 février 2014 c. 2.2).</w:t>
      </w:r>
    </w:p>
    <w:p>
      <w:r>
        <w:rPr>
          <w:b/>
        </w:rPr>
        <w:t>E. 2.3</w:t>
      </w:r>
    </w:p>
    <w:p>
      <w:r>
        <w:t>En l’espèce, V.________, qui a été interpellé à bord de son véhicule ensuite de la mise en place d’un dispositif d’observation, ne conteste à juste titre pas l’existence de soupçons suffisants. Lors de ses auditions, il a admis avoir acquis environ 210 grammes de cocaïne et l’avoir transportée des Pays-Bas à Chardonne. Il a également expliqué qu’une partie de cette drogue à tout le moins était destinée à des connaissances. C’est également lui qui a indiqué à la police où trouver la marchandise. La condition de l’existence de soupçons suffisants est ainsi pleinement réalisée.</w:t>
      </w:r>
    </w:p>
    <w:p>
      <w:r>
        <w:rPr>
          <w:b/>
        </w:rPr>
        <w:t>E. 3</w:t>
      </w:r>
    </w:p>
    <w:p>
      <w:r>
        <w:t>CPP).</w:t>
      </w:r>
    </w:p>
    <w:p>
      <w:r>
        <w:rPr>
          <w:b/>
        </w:rPr>
        <w:t>E. 3.1</w:t>
      </w:r>
    </w:p>
    <w:p>
      <w:r>
        <w:t>Le recourant conteste l’existence du risque de collusion invoqué par le Ministère public et retenu par le Tribunal des mesures de contrainte (art. 221 al. 1 let. b CPP).</w:t>
      </w:r>
    </w:p>
    <w:p>
      <w:r>
        <w:rPr>
          <w:b/>
        </w:rPr>
        <w:t>E. 3.2</w:t>
      </w:r>
    </w:p>
    <w:p>
      <w:r>
        <w:t>Selon l'art. 221 al. 1 let. b CPP,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in Kuhn/Jeanneret (éd.), op. cit., n. 14 et 15 ad art. 221 CPP; cf. ATF 137 IV 122 c. 6.2 et 6.4) – vise à garantir la constatation exacte et complète des faits.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 3.2 ; TF 1B_55/2010 du 11 mars 2010 c. 3.1 et les références citées).</w:t>
      </w:r>
    </w:p>
    <w:p>
      <w:r>
        <w:rPr>
          <w:b/>
        </w:rPr>
        <w:t>E. 3.3</w:t>
      </w:r>
    </w:p>
    <w:p>
      <w:r>
        <w:t>En l’espèce, le recourant conteste faire du trafic de stupéfiants. Ses explications sont toutefois douteuses lorsqu’il soutient avoir acquis 210 grammes de cocaïne pour sa consommation personnelle et pour la partager avec ses amis lors de soirées. A cela s’ajoute le nombre important de téléphones cellulaires et de cartes SIM retrouvées à son domicile (cf. inventaire établi par la police le 27 mars 2015). Les différentes versions du prévenu quant à sa rencontre avec son fournisseur aux Pays-Bas ne plaident pas non plus en sa faveur. En effet, il a expliqué dans un premier temps à la police avoir choisi un bistrot au hasard (PV aud. du 27 mars 2015, R3), puis, dans la même audition, il a changé ses déclarations et a expliqué qu’on lui aurait communiqué le nom d’un albanais qui avait du « matos » à Rotterdam et qu’il aurait été guidé par son GPS jusqu’au point de rendez-vous (ibid, R9). Il aurait rencontré cette personne et convenu du prix d’achat de la marchandise, qu’il serait ensuite allé chercher quelques jours plus tard, avant d’être interpellé par la police. Des contrôles rétroactifs vont être ordonnés sur les téléphones cellulaires que détenait V.________. Ceux-ci devraient permettre de vérifier si ce dernier était en contact avec des toxicomanes connus de la police et, dans l’affirmative, les auditionner. Ces mesures permettront ainsi de déterminer l’ampleur de l’activité délictueuse du recourant. Il importe d’éviter que le prévenu tente d’influencer les déclarations des personnes qui pourraient être identifiées par les investigations en cours, voire de prévenir ses fournisseurs de l’enquête en cours. Par ailleurs, l’argument du recourant selon lequel la saisie de ses téléphones cellulaires l’empêcherait de contacter ses connaissances est spécieux. Compte tenu de ce qui précède, la détention provisoire du recourant est justifiée par le risque de collusion.</w:t>
      </w:r>
    </w:p>
    <w:p>
      <w:r>
        <w:rPr>
          <w:b/>
        </w:rPr>
        <w:t>E. 3.4</w:t>
      </w:r>
    </w:p>
    <w:p>
      <w:r>
        <w:t>Les risques fondant la détention provisoire étant des motifs alternatifs, la question de l’existence des risques de fuite et de réitération n’a pas à être examinée, dès lors que la détention est justifiée par le risque de collusion (cf. TF 1B_249/2011 du 7 juin 2011 c. 2.4).</w:t>
      </w:r>
    </w:p>
    <w:p>
      <w:r>
        <w:rPr>
          <w:b/>
        </w:rPr>
        <w:t>E. 4.1</w:t>
      </w:r>
    </w:p>
    <w:p>
      <w:r>
        <w:t>Concernant le respect du principe de la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4.2</w:t>
      </w:r>
    </w:p>
    <w:p>
      <w:r>
        <w:t>En l’espèce, au vu du stade encore précoce de l’enquête, la mise en détention provisoire du recourant, pour une durée d’un mois, n’est pas excessive tant au regard des mesures d’instruction ordonnées que par rapport à la peine encourue. Elle est nécessaire aux enquêteurs pour vérifier si le prévenu a été en contact avec des toxicomanes, contrairement à ses déclarations.</w:t>
      </w:r>
    </w:p>
    <w:p>
      <w:r>
        <w:rPr>
          <w:b/>
        </w:rPr>
        <w:t>E. 5</w:t>
      </w:r>
    </w:p>
    <w:p>
      <w:r>
        <w:t>Enfin, aucune mesure de substitution n’est susceptible, pour parer au risque de collusion retenu, d’atteindre le même but que la détention provisoire (art. 212 al. 2 let. c et 237 CPP).</w:t>
      </w:r>
    </w:p>
    <w:p>
      <w:r>
        <w:rPr>
          <w:b/>
        </w:rPr>
        <w:t>E. 6</w:t>
      </w:r>
    </w:p>
    <w:p>
      <w:r>
        <w:t>En définitive, le recours, manifestement mal fondé, doit être rejeté sans autre échange d’écritures (art. 390 al. 2 CPP) et l'ordonnance du 17 mars 2015 confirmée. Les frais de la procédure de recours, constitués en l’espèce de l'émolument d'arrêt (art. 422 al. 1 CPP), par 880 fr. (art. 20 al. 1 TFIP  [tarif des frais de procédure et indemnités en matière pénale du 28 septembre 2010 ; RSV 312.03.1]), et des frais imputables à la défense d'office du recourant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28 mars 2015 est confirmée. III. L’indemnité allouée au défenseur d’office de V.________ est fixée à 583 fr. 20 (cinq cent huitante-trois francs et vingt centimes). IV. Les frais d’arrêt, par 880 fr. (huit cent huitante francs), ainsi que l’indemnité due au défenseur d’office de V.________, par 583 fr. 20 (cinq cent huitante-trois francs et vingt centimes), sont mis à la charge de ce dernier. V. Le remboursement à l’Etat de l’indemnité allouée au chiffre III ci-dessus ne sera exigible que pour autant que la situation économique de V.________ se soit améliorée. VI. Le présent arrêt est exécutoire. Le président :               La greffière : Du Le présent arrêt, dont la rédaction a été approuvée à huis clos, est notifié, par l'envoi d'une copie complète, à : - M. Vincent Demierre, avocat (pour V.________), - Ministère public central, et communiqué à : - M. le Procureur de l’arrondissement de Lausanne, - Mme la Présidente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