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285 vom 8. April 2015</w:t>
      </w:r>
    </w:p>
    <w:p>
      <w:r>
        <w:t>VD Tribunal cantonal, 2015-04-08, FR</w:t>
      </w:r>
    </w:p>
    <w:p>
      <w:r>
        <w:rPr>
          <w:b/>
        </w:rPr>
        <w:t xml:space="preserve">Quelle: </w:t>
      </w:r>
      <w:r>
        <w:t>https://mcp.opencaselaw.ch/entscheid/vd_findinfo_D_cision___2015___285</w:t>
      </w:r>
    </w:p>
    <w:p>
      <w:r>
        <w:t>FR: VD_FINDINFO Décision / 2015 / 285 du 8 avril 2015</w:t>
      </w:r>
    </w:p>
    <w:p>
      <w:r>
        <w:t>IT: VD_FINDINFO Décision / 2015 / 285 del 8 aprile 2015</w:t>
      </w:r>
    </w:p>
    <w:p>
      <w:pPr>
        <w:pStyle w:val="Heading2"/>
      </w:pPr>
      <w:r>
        <w:t>Regeste</w:t>
      </w:r>
    </w:p>
    <w:p>
      <w:r>
        <w:t>RISQUE DE FUITE, DÉTENTION PROVISOIRE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w:t>
      </w:r>
    </w:p>
    <w:p>
      <w:r>
        <w:rPr>
          <w:b/>
        </w:rPr>
        <w:t>E. 2.2</w:t>
      </w:r>
    </w:p>
    <w:p>
      <w:r>
        <w:t>En l’espèce, les soupçons pesant sur le recourant sont amplement suffisants à l’aune de l’art. 221 al. 1 in initio CPP (ATF 137 IV 122 c. 3.2; TF 1B_39/2014 du 11 février 2014 c. 2.2). Le prévenu ne tente du reste pas de les réfuter.</w:t>
      </w:r>
    </w:p>
    <w:p>
      <w:r>
        <w:rPr>
          <w:b/>
        </w:rPr>
        <w:t>E. 3.1</w:t>
      </w:r>
    </w:p>
    <w:p>
      <w:r>
        <w:t>Le recourant nie en revanche présenter le risque de fuite toujours retenu par le premier juge. Les conditions fixées à l'art. 221 al. 1 let. a à c CPP étant des conditions alternatives et non cumulatives, la réalisation d'une seule cause suffit pour justifier la détention provisoire (TF 1B_249/2011 du 7 juin 2011 c. 2.4).</w:t>
      </w:r>
    </w:p>
    <w:p>
      <w:r>
        <w:rPr>
          <w:b/>
        </w:rPr>
        <w:t>E. 3.2</w:t>
      </w:r>
    </w:p>
    <w:p>
      <w:r>
        <w:t>Le prévenu est un étranger dépourvu de tout titre de séjour en Suisse. Il n’a pas de domicile fixe et a, jusqu’au dépôt de son recours, refusé d’indiquer l’adresse des personnes qui l’hébergent. Il vit dès lors dans la clandestinité. L’affirmation du recourant selon laquelle il vivrait chez son amie à Genève est pour le moins sujette à caution, nonobstant le fait que l’adresse de la mère de son enfant figure sur son passeport (P. 17/2) : le recourant a en effet clairement indiqué qu’il ne vivait pas avec elle lors de son audition du 10 janvier 2015 (PV aud. 5, R. 3 ). Il n’est du reste pas établi que la mère de son enfant accepterait encore de l’héberger après avoir eu connaissance des faits faisant l’objet de l’enquête. Compte tenu de ces circonstances et au vu de la quotité de la peine encourue à raison des actes incriminés perpétrés le 10 janvier 2015, il existe un risque significatif que le prévenu, s’il venait à être libéré, ne tente de se soustraire aux poursuites pénales en séjournant clandestinement dans notre pays comme il le fait depuis des années.</w:t>
      </w:r>
    </w:p>
    <w:p>
      <w:r>
        <w:rPr>
          <w:b/>
        </w:rPr>
        <w:t>E. 3.3</w:t>
      </w:r>
    </w:p>
    <w:p>
      <w:r>
        <w:t>Au surplus, le recourant requiert des mesures de substitution à la détention provisoire. Se prévalant implicitement de l’art. 237 al. 1 et al. 2 let. b et d CPP, il demande à être tenu au dépôt de son passeport et à se présenter toutes les deux semaines dans un poste de police vaudois ou genevois, ajoutant que les actes de la procédure pourraient être adressés à l’étude de son défenseur lausannois. Le prévenu s’acharne à demeurer en Suisse malgré les quinze condamnations prononcées à son encontre depuis 2006. Ses lourds antécédents pénaux et les deux enquêtes pendantes dont il fait l’objet n’incitent pas à la confiance, tout comme le fait qu’il vit dans la clandestinité et a refusé de coopérer avec les autorités en indiquant l’adresse des personnes qui l’hébergent. Dans ces conditions, comme le relève le premier juge, une disparition en Suisse est plus à craindre qu’un départ à l’étranger. On ne voit dès lors pas en quoi le dépôt du passeport suffirait à pallier le risque de fuite d’un délinquant aguerri, rompu à la clandestinité et visiblement résolu à demeurer en Suisse par tous les moyens. En outre, la mesure dans laquelle le prévenu a abusé de la confiance des autorités depuis de nombreuses années suffit à ôter toute crédibilité à son engagement de se présenter toutes les deux semaines à un poste de police vaudois ou genevois. Aucune mesure de substitution n’apparaît dès lors en l’état suffisante pour pallier le risque de fuite.</w:t>
      </w:r>
    </w:p>
    <w:p>
      <w:r>
        <w:rPr>
          <w:b/>
        </w:rPr>
        <w:t>E. 4</w:t>
      </w:r>
    </w:p>
    <w:p>
      <w:r>
        <w:t>Enfin, sous l’angle de la proportionnalité, il doit être relevé que le prévenu s'expose à une peine privative de liberté d’une durée restant supérieure à celle de la détention provisoire qu’il aura subie à l’échéance prévue en dernier lieu avant l’ordonnance entreprise, soit au 10 avril 2015. Le principe de la proportionnalité demeure donc respecté (ATF 133 I 168 c. 4.1 et les arrêts cités; ATF 132 I 21 c. 4.1; TF 1B_411/2011 du 31 août 2011 c. 4.1). A cet égard, le fait que la peine encourue puisse être assortie du sursis, total ou partiel, n'est pas déterminant sous l'angle de la proportionnalité (ATF 133 I 270 c. 3.4.2).</w:t>
      </w:r>
    </w:p>
    <w:p>
      <w:r>
        <w:rPr>
          <w:b/>
        </w:rPr>
        <w:t>E. 5</w:t>
      </w:r>
    </w:p>
    <w:p>
      <w:r>
        <w:t>En définitive, le recours doit être rejeté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320 fr., plus la TVA par 25 fr. 60, soit un total de 345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mars 2015 est confirmée. III. L’indemnité allouée au défenseur d’office d’I.________ est fixée à 345 fr. 60 (trois cent quarante-cinq francs et soixante centimes). IV. Les frais d’arrêt, par 660 fr. (six cent soixante francs), ainsi que l’indemnité due au défenseur d’office d’I.________, par 345 fr. 60 (trois cent quarante-cinq francs et soixante centimes), sont mis à la charge de ce dernier. V. Le remboursement à l'Etat de l'indemnité allouée au chiffre III ci-dessus ne sera exigible que pour autant que la situation économique d’I.________ se soit améliorée. VI. Le présent arrêt est exécutoire. Le président :               Le greffier : Du Le présent arrêt, dont la rédaction a été approuvée à huis clos, est notifié, par l'envoi d'une copie complète, à : - M. Jean-Pierre Bloch, avocat (pour I.________), - Ministère public central; et communiqué à : - Mme Tirile Tuchschmid Monnier, avocate (pour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