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282 vom 8. April 2015</w:t>
      </w:r>
    </w:p>
    <w:p>
      <w:r>
        <w:t>VD Tribunal cantonal, 2015-04-08, FR</w:t>
      </w:r>
    </w:p>
    <w:p>
      <w:r>
        <w:rPr>
          <w:b/>
        </w:rPr>
        <w:t xml:space="preserve">Quelle: </w:t>
      </w:r>
      <w:r>
        <w:t>https://mcp.opencaselaw.ch/entscheid/vd_findinfo_D_cision___2015___282</w:t>
      </w:r>
    </w:p>
    <w:p>
      <w:r>
        <w:t>FR: VD_FINDINFO Décision / 2015 / 282 du 8 avril 2015</w:t>
      </w:r>
    </w:p>
    <w:p>
      <w:r>
        <w:t>IT: VD_FINDINFO Décision / 2015 / 282 del 8 aprile 2015</w:t>
      </w:r>
    </w:p>
    <w:p>
      <w:pPr>
        <w:pStyle w:val="Heading2"/>
      </w:pPr>
      <w:r>
        <w:t>Regeste</w:t>
      </w:r>
    </w:p>
    <w:p>
      <w:r>
        <w:t>MISE EN LIBERTÉ PROVISOIRE, DÉTENTION PROVISOIRE, SOUPÇON, RISQUE DE RÉCIDIVE, PROPORTIONNALITÉ | 221 al. 1 let. c CPP (CH), 221 al. 2 CPP (CH), 222 CPP (CH), 228 CPP (CH), 393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10 mars 2015/171 ; CREP 12 février 2015/111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 art. 80 LOJV [loi vaudoise du 12 décembre 1979 d’organisation judiciaire; RSV 173.01]). En l’espèce, le recours a été interjeté en temps utile devant l’autorité compétente, par le détenu, qui a qualité pour recourir (art. 382 al. 1 CPP), et dans les formes prescrites (art. 385 al. 1 CPP), de sorte qu’il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 7 ss ad art. 221 CPP, pp. 1024 ss).</w:t>
      </w:r>
    </w:p>
    <w:p>
      <w:r>
        <w:rPr>
          <w:b/>
        </w:rPr>
        <w:t>E. 3.1</w:t>
      </w:r>
    </w:p>
    <w:p>
      <w:r>
        <w:t>Le recourant conteste l'existence de soupçons de culpabilité suffisants.</w:t>
      </w:r>
    </w:p>
    <w:p>
      <w:r>
        <w:rPr>
          <w:b/>
        </w:rPr>
        <w:t>E. 3.2</w:t>
      </w:r>
    </w:p>
    <w:p>
      <w:r>
        <w:t>S’agissant des soupçons qui doivent peser sur le prévenu, il n’appartient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 TF 1B_39/2014 du 11 février 2014 c. 2.2).</w:t>
      </w:r>
    </w:p>
    <w:p>
      <w:r>
        <w:rPr>
          <w:b/>
        </w:rPr>
        <w:t>E. 3.3</w:t>
      </w:r>
    </w:p>
    <w:p>
      <w:r>
        <w:t>En l’espèce, le recourant soutient que plus l’instruction avance plus les soupçons à son encontre s’amenuisent. Il invoque des divergences qui existeraient entre les différentes dépositions des témoins. Cela relèvera de l’appréciation du juge du fond. A ce stade, les éléments au dossier montrent qu’il existe des présomptions suffisantes de culpabilité à la charge de R.________ telles que l’admission par ce dernier de nombreux conflits entre lui et la victime, sous forme de disputes verbales et physiques, notamment au sujet de la garde de leur enfant. En outre, s’agissant des événements du 9 février 2015, le recourant a en particulier admis être venu, avec un couteau, au domicile de la victime pour « régler ses comptes » avec le nouveau compagnon de celle-ci, lequel l’aurait au préalable menacé (cf. plainte du 12 février 2015, p. 5 ; PV aud. d’arrestation du 3 mars 2015, p. 2-3). Il est également mis en cause par la mère de la victime, qui confirme les menaces de mort et les injures proférées contre sa fille (cf. plainte du 12 février 2015, p. 7). Enfin, pour les faits survenus le 3 mars 2015, le recourant est directement mis en cause par la victime qui a été vue se disputant avec son agresseur, et dont les déclarations apparaissent ainsi crédibles. Etant rappelé que le juge de la détention doit se limiter à une appréciation sommaire des éléments au dossier, il apparaît que les griefs soulevés par le recourant ne sont pas de nature à affaiblir significativement le poids des charges recueillies depuis le début de l’enquête. Celles-ci sont concrètes et constituent des indices sérieux de culpabilité, comme l'a retenu le Tribunal des mesures de contrainte dans son ordonnance.</w:t>
      </w:r>
    </w:p>
    <w:p>
      <w:r>
        <w:rPr>
          <w:b/>
        </w:rPr>
        <w:t>E. 4.1</w:t>
      </w:r>
    </w:p>
    <w:p>
      <w:r>
        <w:t>Le recourant conteste également l’existence d’un risque de réitération et propose à titre subsidiaire que des mesures de substitution soient ordonnées si l’existence de ce risque devait néanmoins être constatée par l’autorité de recours.</w:t>
      </w:r>
    </w:p>
    <w:p>
      <w:r>
        <w:rPr>
          <w:b/>
        </w:rPr>
        <w:t>E. 4.2</w:t>
      </w:r>
    </w:p>
    <w:p>
      <w:r>
        <w:t>Le maintien en détention avant jugement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w:t>
      </w:r>
    </w:p>
    <w:p>
      <w:r>
        <w:rPr>
          <w:b/>
        </w:rPr>
        <w:t>E. 4.3</w:t>
      </w:r>
    </w:p>
    <w:p>
      <w:r>
        <w:t>En l’espèce, les considérations développées tant sur le risque de récidive que sur les mesures de substitution par la Cour de céans dans son précédent arrêt du 19 mars 2015 conservent toute leur pertinence, dès lors qu’il n’existe aucun élément nouveau permettant de les remettre en cause (CREP 19 mars 2015/205 c. 2.2 et 3 et les références citées). En effet, bien que, selon le recourant, il n’existerait aucune preuve formelle contre lui et qu’il ne présenterait aucun antécédent de même nature, le recourant a admis avoir déjà porté des coups à la victime par le passé et il ressort de certaines déclarations, notamment de celles de sa compagne actuelle, que le recourant peut être selon les jours soit attentionné, soit énervé contre J.________ et obnubilé par le conflit concernant sa fille. Son profil psychologique est donc inquiétant. En outre, une expertise psychiatrique ordonnée par la procureure a été mise en œuvre durant le mois de mars dernier. Il est ainsi indispensable d’attendre les conclusions des experts qui permettront d'évaluer plus précisément le risque de récidive et la dangerosité du recourant, lesquels sont suffisamment concrets en l'état pour justifier sa détention provisoire. Cette expertise permettra également de déterminer les éventuelles mesures nécessaires pour parer au risque que présente le prévenu. Une libération n’est ainsi pas envisageable et aucune mesure de substitution ne saurait entrer en considération à ce stade. Les motifs fondant la détention provisoire étant alternatifs, la question de l’existence d’un éventuel risque de collusion peut demeurer indécise, dès lors que la détention est justifiée par l’existence d’un risque de réitération.</w:t>
      </w:r>
    </w:p>
    <w:p>
      <w:r>
        <w:rPr>
          <w:b/>
        </w:rPr>
        <w:t>E. 5.1</w:t>
      </w:r>
    </w:p>
    <w:p>
      <w:r>
        <w:t>Concernant le respect du principe de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Toutefois, le fait que la peine encourue puisse être assortie du sursis, total ou partiel, n'est pas déterminant sous l'angle de la proportionnalité (ATF 133 I 270 c. 3.4.2).</w:t>
      </w:r>
    </w:p>
    <w:p>
      <w:r>
        <w:rPr>
          <w:b/>
        </w:rPr>
        <w:t>E. 5.2</w:t>
      </w:r>
    </w:p>
    <w:p>
      <w:r>
        <w:t>En l’espèce, R.________ est détenu depuis le 3 mars 2015, soit depuis un peu plus d’un mois. Compte tenu des actes qui lui sont reprochés, il s'expose à une peine privative de liberté d’une durée manifestement supérieure à celle de la détention provisoire subie à ce jour. Par conséquent, le principe de la proportionnalité de la détention provisoire demeure respecté.</w:t>
      </w:r>
    </w:p>
    <w:p>
      <w:r>
        <w:rPr>
          <w:b/>
        </w:rPr>
        <w:t>E. 6</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720 fr., plus la TVA par 57 fr. 60, soit 777 fr. 60 au total, seront mis à la charge du recourant, qui succombe (art. 428 al. 1 CPP). Le remboursement à l’Etat de l’indemnité allouée au défenseur d’office de R.________ ne sera toutefois exigible que pour autant que la situation économique de ce dernier se soit améliorée (art. 135 al. 4 CPP). Par ces motifs, la Chambre des recours pénale prononce : I. Le recours est rejeté. II. L’ordonnance du 23 mars 2015 est confirmée. III. L'indemnité allouée au défenseur d'office de R.________ est fixée à 777 fr. 60 (sept cent septante-sept francs et soixante centimes). IV. Les frais d’arrêt, par 880 fr. (huit cent huitante francs), ainsi que l’indemnité due au défenseur d’office de R.________, par 777 fr. 60 (sept cent septante-sept francs et soixante centimes), sont mis à la charge de ce dernier. V. Le remboursement à l'Etat de l'indemnité allouée au chiffre III ci-dessus ne sera exigible que pour autant que la situation économique de R.________ se soit améliorée. VI. Le présent arrêt est exécutoire. Le vice-président : La greffière : Du Le présent arrêt, dont la rédaction a été approuvée à huis clos, est notifié, par l'envoi d'une copie complète, à : - M. Christophe Tafelmacher, avocat (pour R.________), - Ministère public central ; et communiqué à : - Mme la Présidente du Tribunal des mesures de contrainte, - Mme la Procureure de l’arrondissement du Nord vaudois, - Mme Roxane Mingard, avocate (pour J.________),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