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 vom 17. Dezember 2014</w:t>
      </w:r>
    </w:p>
    <w:p>
      <w:r>
        <w:t>VD Tribunal cantonal, 2014-12-17, FR</w:t>
      </w:r>
    </w:p>
    <w:p>
      <w:r>
        <w:rPr>
          <w:b/>
        </w:rPr>
        <w:t xml:space="preserve">Quelle: </w:t>
      </w:r>
      <w:r>
        <w:t>https://mcp.opencaselaw.ch/entscheid/vd_findinfo_D_cision___2015___28</w:t>
      </w:r>
    </w:p>
    <w:p>
      <w:r>
        <w:t>FR: VD_FINDINFO Décision / 2015 / 28 du 17 décembre 2014</w:t>
      </w:r>
    </w:p>
    <w:p>
      <w:r>
        <w:t>IT: VD_FINDINFO Décision / 2015 / 28 del 17 dicembre 2014</w:t>
      </w:r>
    </w:p>
    <w:p>
      <w:pPr>
        <w:pStyle w:val="Heading2"/>
      </w:pPr>
      <w:r>
        <w:t>Regeste</w:t>
      </w:r>
    </w:p>
    <w:p>
      <w:r>
        <w:t>RÉCUSATION, PRÉFET, ADMISSION DE LA DEMANDE | 56 let. f CPP (CH), 59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F.________ à l’encontre de la Préfète Sylviane Klein (art. 13 de la loi d’introduction du code de procédure pénale suisse [LVCPP]; RSV 312.01).</w:t>
      </w:r>
    </w:p>
    <w:p>
      <w:r>
        <w:rPr>
          <w:b/>
        </w:rPr>
        <w:t>E. 1.2</w:t>
      </w:r>
    </w:p>
    <w:p>
      <w:r>
        <w:t>La défense des prévenus est réservée aux avocats qui, en vertu de la LLCA (loi fédérale sur la libre circulation des avocats du 23 juin 2000; RS 935.61), sont habilités à représenter les parties devant les tribunaux, les dispositions contraires du droit cantonal sur la représentation dans le cadre de procédures portant sur des contraventions étant réservées (art. 127 al. 5 CPP [Code de procédure pénale suisse du 5 octobre 2007; RS 312.0]). L’art. 21 LVCPP (loi cantonale d'introduction du Code de procédure pénale suisse; RSV 312.01) prévoit que les prévenus peuvent se faire représenter devant les autorités administratives compétentes en matière de contraventions par un mandataire qui n'est pas inscrit au registre cantonal des avocats ni au tableau public des avocats des Etats membres de l'Union européenne. La ratio legis de cette norme est de permettre notamment aux agents d’affaires ou aux assurances de protection juridique d’assister des prévenus devant les préfets (EMPL 116, Septembre 2008, p. 55 ad art. 20 du projet de loi). L’art. 21 LVCPP passe sous silence les autorités judiciaires. Ce silence est qualifié. Le monopole de représentation dévolu aux avocats inscrits prévaut donc devant les tribunaux pour tous types d’infractions. Un assureur de protection juridique ne peut pas représenter un prévenu dans le cadre d'un recours devant la Chambre des recours pénale contre une ordonnance préféctorale (cf. Juge unique CREP 14 juillet 2014/277). En l'occurrence, la requête de récusation a été formée devant le préfet, conformément à l'art. 58 al. 1 CPP, de sorte qu'il y a lieu d'entrer en matière sur celle-ci. En revanche, il faut considérer que F.________ agit seul, son assurance de protection juridique n'étant pas autorisée, au vu des principes rappelés ci-dessus, à le représenter dans le cadre de la requête de récusation qu'il a déposée à l'encontre de la préfète et sur laquelle il incombe à la Cour de céans de statuer.</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ou encore d'un membre d'une autorité pénale compétente en matière de contravention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du 19 décembre 2011 précité c. 2.1 et la référence citée; ATF 136 III 605 c. 3.2.1; ATF 134 I 20 c. 4.2), et des erreurs de procédure ou d’appréciation ne suffisent pas (TF 1B_305/2010 du 25 octobre 2010; ATF 116 Ia 135).</w:t>
      </w:r>
    </w:p>
    <w:p>
      <w:r>
        <w:rPr>
          <w:b/>
        </w:rPr>
        <w:t>E. 2.2</w:t>
      </w:r>
    </w:p>
    <w:p>
      <w:r>
        <w:t>En l'espèce, F.________ sollicite la récusation de la préfète en faisant valoir que la magistrate a préjugé en rendant l'ordonnance du 5 décembre 2014. Dans ses déterminations écrites du 12 décembre 2014, la préfète a indiqué que c'était à la suite d'une erreur de traitement et d'un mélange de deux dossiers que cette ordonnance avait été adressée au prévenu. Cela est pourtant difficile à concevoir dès lors que la référence du dossier, l'identité du prévenu, le lieu et la date de l'événement ainsi que la faute reprochée sont rigoureusement identiques dans les deux ordonnances. Celle du 5 décembre 2014 mentionne en outre que le prévenu a été cité à l'audience du 10 décembre 2014 et entendu, ce qui correspond à la date pour laquelle il avait effectivement été convoqué. L'ordonnance litigieuse peut, dans ces circonstances, effectivement donner l'impression qu'avant même d'avoir entendu le recourant, la préfète avait déjà pris sa décision. Cette manière de voir est au demeurant confortée par le fait que, dans ses déterminations, la magistrate précise qu'elle entendait corriger les conséquences de la méprise invoquée en audience et rédiger une nouvelle ordonnance pénale, qui aurait annulé la précédente, donnant ainsi à penser qu'elle excluait d'emblée toute autre issue qu'une condamnation dans le cas particulier.</w:t>
      </w:r>
    </w:p>
    <w:p>
      <w:r>
        <w:rPr>
          <w:b/>
        </w:rPr>
        <w:t>E. 3</w:t>
      </w:r>
    </w:p>
    <w:p>
      <w:r>
        <w:t>Au vu de ce qui précède, la demande de récusation formée par F.________ doit être admise et la cause transmise à l'autre Préfet du district de Lausanne, Serge Terribilini, pour nouvelle décision. Les frais de la présente procédure, constitués en l'espèce du seul émolument de décision, par 660 fr. (art. 20 du Tarif des frais judiciaires pénaux [RSV 312.03.1]), seront laissés à la charge de l'Etat (art. 59 al. 4 CPP). Par ces motifs, la Chambre des recours pénale prononce : I. La demande de récusation formée par F.________ à l'encontre de la Préfète Sylviane Klein est admise. II. Le dossier de la cause est renvoyé au Préfet du district de Lausanne Serge Terribilini pour nouvelle décision. III. Les frais de la présente décision, par 660 fr. (six cent soixante francs), sont laissés à la charge de l'Etat. IV. La présente décision est exécutoire. Le président :               La greffière : Du La présente décision, dont la rédaction a été approuvée à huis clos, est notifiée, par l'envoi d'une copie complète, à : - M. F.________, et communiquée à : - Mme la Préfète du district de Lausanne, - Assista protection juridique SA (pour F.________),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