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278 vom 12. Februar 2015</w:t>
      </w:r>
    </w:p>
    <w:p>
      <w:r>
        <w:t>VD Tribunal cantonal, 2015-02-12, FR</w:t>
      </w:r>
    </w:p>
    <w:p>
      <w:r>
        <w:rPr>
          <w:b/>
        </w:rPr>
        <w:t xml:space="preserve">Quelle: </w:t>
      </w:r>
      <w:r>
        <w:t>https://mcp.opencaselaw.ch/entscheid/vd_findinfo_D_cision___2015___278</w:t>
      </w:r>
    </w:p>
    <w:p>
      <w:r>
        <w:t>FR: VD_FINDINFO Décision / 2015 / 278 du 12 février 2015</w:t>
      </w:r>
    </w:p>
    <w:p>
      <w:r>
        <w:t>IT: VD_FINDINFO Décision / 2015 / 278 del 12 febbraio 2015</w:t>
      </w:r>
    </w:p>
    <w:p>
      <w:pPr>
        <w:pStyle w:val="Heading2"/>
      </w:pPr>
      <w:r>
        <w:t>Regeste</w:t>
      </w:r>
    </w:p>
    <w:p>
      <w:r>
        <w:t>HONNEUR, INFRACTIONS CONTRE L'HONNEUR, AVOCAT, NON-LIEU, INDUCTION DE LA JUSTICE EN ERREUR | 173 ch. 1 CP, 174 ch. 1 CP, 303 ch. 1 CP, 310 CPP (CH)</w:t>
      </w:r>
    </w:p>
    <w:p>
      <w:pPr>
        <w:pStyle w:val="Heading2"/>
      </w:pPr>
      <w:r>
        <w:t>Erwägungen</w:t>
      </w:r>
    </w:p>
    <w:p>
      <w:r>
        <w:rPr>
          <w:b/>
        </w:rPr>
        <w:t>E. 1</w:t>
      </w:r>
    </w:p>
    <w:p>
      <w:r>
        <w:t>Approuvée par le Procureur général le 9 janvier 2015, l’ordonnance attaquée a été notifiée au plaignant, par son conseil, par pli mis à la poste le 12 janvier suivant. Interjeté le 23 janvier 2015, le recours l’a été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23 décembre 2014/916 c. 1; CREP 9 décembre 2014/874 c. 1). Répondant aux formes prescrites (art. 385 al. 1 CPP), le recours est ainsi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3.1</w:t>
      </w:r>
    </w:p>
    <w:p>
      <w:r>
        <w:t>En l’espèce, le recourant soutient que l’avocate C.________ ne saurait se prévaloir de sa bonne foi, dès lors qu’elle aurait articulé « des faits attentatoires à l’honneur du recourant et dont elle ne [pouvait] pas ne pas savoir qu’ils [étaient] faux puisqu’elle l’avait elle-même reconnu en retirant des propos similaires précédemment tenus » (recours, p. 7). 3.2.1 Selon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A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Selon l'art. 303 ch. 1 CP,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3.2.2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ATF 132 IV 112 c. 2.1; ATF 128 IV 53 c. 1a).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 2.1.3). Les parties à un procès ou l’avocat qui se limitent à ce qui est nécessaire et pertinent, sans recourir à des formules inutilement blessantes, ne tombent pas sous le coup de l’art. 173 CP, l’acte étant licite selon l’art. 14 CP (ATF 131 IV 154, JT 2007 IV 3; ATF 118 IV 248 c. 2c; ATF 116 IV 211, JT 1992 IV 83; ATF 107 IV 34 c. 4a; Dupuis/ Geller/Monnier/Moreillon/Piguet/Bettex/Stoll [éd.], Petit commentaire CP, Bâle 2012, n. 52 ad art. 173 CP; Favre/Pellet/Stoudmann, Code pénal annoté, 3 e éd., Lausanne 2007/2011, n. 1.11 ad art. 14 CP; de Werra, L’avocat et la diffamation [Der Anwalt und die üble Nachrede, traduit de l’allemand], in : L’avocat suisse, n° 70, décembre 1980, p. 14). L’avocat qui utilise le terme « pas légal » en plaidoirie, terme justifié par le mandat de la cause, ne tombe pas non plus sous le coup de cette infraction (ATF 131 IV 154). Ainsi, le moyen formulé dans une procédure judiciaire selon lequel la partie adverse n’aurait pas respecté la loi et n’aurait pas tenu ses engagements n’est pas en soi attentatoire à l’honneur de son destinataire, à défaut de quoi il pourrait être impossible de plaider (CREP 30 janvier 2015/77 c. II.3.3). 3.2.3 L’intérêt juridiquement protégé par l’art. 303 CP est à la fois l’honneur des particuliers et l’administration de la justice (Dupuis et alii , op. cit., n. 1 ad art. 303 CP). La connaissance, par l’auteur, de l’innocence de la victime recouvre la notion de connaissance de la fausseté de ses allégations sous l’angle de la calomnie (Dupuis et alii , op. cit., n. 23 ad art. 303 CP). La dénonciation calomnieuse prime la calomnie (Dupuis et alii , op. cit., n. 31 ad art. 303 CP).</w:t>
      </w:r>
    </w:p>
    <w:p>
      <w:r>
        <w:rPr>
          <w:b/>
        </w:rPr>
        <w:t>E. 3.3</w:t>
      </w:r>
    </w:p>
    <w:p>
      <w:r>
        <w:t>Dans le cas particulier, l’avocate C.________ a expressément évoqué des actes de violence domestique qui auraient été commis par le plaignant. On ne saurait, du moins en l’état, écarter a priori l’hypothèse que l’avocate ait eu connaissance de la fausseté de ses allégations, puisqu’elle avait retiré de semblables assertions à l’audience du Tribunal de police de l’arrondissement de La Côte du 19 septembre 2013, en présentant des excuses au plaignant (ch. IV de la convention homologuée). Par identité de motifs, on ne saurait par avance affirmer que les écrits incriminés étaient justifiés par la défense des intérêts de la mandante, donc licites au regard de l’art. 14 CP. Cela étant, il n’en est pas moins plausible que des faits nouveaux soient survenus dans l’intervalle, respectivement que l’avocate ait eu depuis lors connaissance de faits antérieurs, ce d’autant que l’enfant, dont les dires sont sujets à interprétation, peut avoir été influencé. L’usage de l’adverbe « récemment » dans le mémoire du 6 juin 2014 en relation avec des confidences du fils du recourant (P. non numérotée sous P. 11/2, p. 8, déjà citée) pourrait indiquer que l’enfant aurait révélé des faits qui étaient inconnus de sa mère en 2013, respectivement postérieurs à l’audience du tribunal de police. Quoi qu’il en soit, seule une instruction pourra établir si les éléments constitutifs d’une infraction contre l’honneur au préjudice du plaignant sont réalisés. La notion de connaissance de la fausseté des allégations selon l’art. 174 CP recouvrant celle de connaissance de l’innocence de la victime au sens de l’art. 303 CP, les motifs retenus sous l’angle de l’infraction de calomnie doivent l’être mutatis mutandis quant à celle de dénonciation calomnieuse. Il appartient ainsi au Procureur d’ouvrir une instruction.</w:t>
      </w:r>
    </w:p>
    <w:p>
      <w:r>
        <w:rPr>
          <w:b/>
        </w:rPr>
        <w:t>E. 4</w:t>
      </w:r>
    </w:p>
    <w:p>
      <w:r>
        <w:t>Il résulte de ce qui précède que le recours doit être admis, le dossier étant renvoyé au Ministère public de l’arrondissement de La Côte pour qu’il procède dans le sens des considérants. Les frais de la procédure de recours, constitués en l’espèce de l'émolument d'arrêt (art. 422 al. 1 CPP), par 990 fr. (art. 20 al. 1 TFIP [tarif des frais de procédure et indemnités en matière pénale du 28 septembre 2010; RSV 312.03.1]), seront laissés à la charge de l’Etat (art. 423 al. 1 CPP). S’agissant des dépens réclamés par le recourant, ce dernier aura la possibilité, à la fin de la procédure, de formuler ses prétentions auprès de l’autorité pénale compétente selon l’art. 433 al. 2 CPP (CREP 16 avril 2013/279 c. 4 et les références citées). Par ces motifs, la Chambre des recours pénale prononce : I. Le recours est admis. II. L’ordonnance du 6 janvier 2015 est annulée. III. Le dossier est renvoyé au Ministère public de l’arrondissement de La Côte pour qu’il procède dans le sens des considérants. IV. Les frais du présent arrêt, par 990 fr. (neuf cent nonante francs), sont laissés à la charge de l’Etat. V. Le présent arrêt est exécutoire. Le président :               Le greffier : Du Le présent arrêt, dont la rédaction a été approuvée à huis clos, est notifié, par l'envoi d'une copie complète, à : - M. Nicolas Jeandin, avocat (pour A.V.________),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