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2015 / 277 vom 2. April 2015</w:t>
      </w:r>
    </w:p>
    <w:p>
      <w:r>
        <w:t>VD Tribunal cantonal, 2015-04-02, FR</w:t>
      </w:r>
    </w:p>
    <w:p>
      <w:r>
        <w:rPr>
          <w:b/>
        </w:rPr>
        <w:t xml:space="preserve">Quelle: </w:t>
      </w:r>
      <w:r>
        <w:t>https://mcp.opencaselaw.ch/entscheid/vd_findinfo_D_cision___2015___277</w:t>
      </w:r>
    </w:p>
    <w:p>
      <w:r>
        <w:t>FR: VD_FINDINFO Décision / 2015 / 277 du 2 avril 2015</w:t>
      </w:r>
    </w:p>
    <w:p>
      <w:r>
        <w:t>IT: VD_FINDINFO Décision / 2015 / 277 del 2 aprile 2015</w:t>
      </w:r>
    </w:p>
    <w:p>
      <w:pPr>
        <w:pStyle w:val="Heading2"/>
      </w:pPr>
      <w:r>
        <w:t>Regeste</w:t>
      </w:r>
    </w:p>
    <w:p>
      <w:r>
        <w:t>AVANCE DE FRAIS, DÉCISION D'IRRECEVABILITÉ | 383 CPP (CH)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avril 2015 __________________ Composition :               M. Abrecht , président MM. Perrot et Maillard, juges Greffière :              Mme Almeida Borges ***** Art. 383 CPP Statuant sur le recours interjeté le 24 février 2015 par D.________ contre l’ordonnance de non-entrée en matière rendue le 10 février 2015 par le Ministère public de l’arrondissement de Lausanne dans la cause n° PE15.001787-ADY , la Chambre des recours pénale considère : En fait et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