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275 vom 1. April 2015</w:t>
      </w:r>
    </w:p>
    <w:p>
      <w:r>
        <w:t>VD Tribunal cantonal, 2015-04-01, FR</w:t>
      </w:r>
    </w:p>
    <w:p>
      <w:r>
        <w:rPr>
          <w:b/>
        </w:rPr>
        <w:t xml:space="preserve">Quelle: </w:t>
      </w:r>
      <w:r>
        <w:t>https://mcp.opencaselaw.ch/entscheid/vd_findinfo_D_cision___2015___275</w:t>
      </w:r>
    </w:p>
    <w:p>
      <w:r>
        <w:t>FR: VD_FINDINFO Décision / 2015 / 275 du 1 avril 2015</w:t>
      </w:r>
    </w:p>
    <w:p>
      <w:r>
        <w:t>IT: VD_FINDINFO Décision / 2015 / 275 del 1 aprile 2015</w:t>
      </w:r>
    </w:p>
    <w:p>
      <w:pPr>
        <w:pStyle w:val="Heading2"/>
      </w:pPr>
      <w:r>
        <w:t>Regeste</w:t>
      </w:r>
    </w:p>
    <w:p>
      <w:r>
        <w:t>DÉTENTION PROVISOIRE, RISQUE DE COLLUSION, PROPORTIONNALITÉ | 207 CPP (CH), 221 al. 1 let. b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2.2</w:t>
      </w:r>
    </w:p>
    <w:p>
      <w:r>
        <w:t>Le recourant, qui a admis les faits, ne conteste pas l’existence de présomptions de culpabilité suffisantes. On se bornera à rappeler qu’il est mis en cause pour avoir détourné, en l’espace d’un mois et demi, près de 290'000 fr. au préjudice de son employeur.</w:t>
      </w:r>
    </w:p>
    <w:p>
      <w:r>
        <w:rPr>
          <w:b/>
        </w:rPr>
        <w:t>E. 3.1</w:t>
      </w:r>
    </w:p>
    <w:p>
      <w:r>
        <w:t>Le recourant conteste l’existence d’un risque de collusion propre à justifier son maintien en détention provisoire.</w:t>
      </w:r>
    </w:p>
    <w:p>
      <w:r>
        <w:rPr>
          <w:b/>
        </w:rPr>
        <w:t>E. 3.2</w:t>
      </w:r>
    </w:p>
    <w:p>
      <w:r>
        <w:t>Selon l'art. 221 al. 1 let. b CPP,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in Kuhn/Jeanneret (éd.), Commentaire romand, Code de procédure pénale, Bâle 2011, nn. 14 et 15 ad art. 221 CPP; cf. ATF 137 IV 122 c. 6.2 et 6.4) – vise à garantir la constatation exacte et complète des faits.</w:t>
      </w:r>
    </w:p>
    <w:p>
      <w:r>
        <w:rPr>
          <w:b/>
        </w:rPr>
        <w:t>E. 3.3</w:t>
      </w:r>
    </w:p>
    <w:p>
      <w:r>
        <w:t>En l’espèce, les explications fournies par le recourant sur l’affectation des sommes détournées apparaissent évasives et ne sont pas non plus, pour certaines, exemptes de contradictions. L’intéressé a déclaré qu’il avait confié, pour qu’elle soit consacrée à l’achat de diamants, une somme de 150'000 fr. à un dénommé «  [...]», rencontré dans un café à Genève. Les deux hommes se seraient rendus à Milan en décembre 2013 pour acquérir les diamants, puis à Monaco pour tenter de les revendre ; ils se seraient finalement séparés à leur retour en Suisse. Les pierres seraient toujours en possession de «  [...]». Le recourant a indiqué qu’il ne connaissait pas le numéro de téléphone de son associé, qui était enregistré dans un téléphone qui avait été détruit dans l’accident du véhicule qu’il avait prêté en mars 2013 à un membre de sa famille. Aux dires du prévenu, le dernier appel de «  [...]» provenait d’un numéro masqué. Le recourant a par ailleurs déclaré avoir confié à un dénommé « [...]» à Pristina (Kosovo) une somme de 100'000 fr. aux fins de l’investir dans des devises étrangères et d’obtenir un bénéfice grâce au taux de conversion. Il se serait rendu au Kosovo peu après son voyage à Monaco, mais [...] aurait disparu, sans laisser de traces, avec la somme qui lui avait été confiée. Quant au solde de 40'000 fr., le recourant a déclaré qu’il avait été utilisé pour les frais de voyage à Milan, à Monaco et au Kosovo. Lors de sa dernière audition, il a indiqué que «  [...]» les avait payés de sa poche ; il a précisé, sur interpellation du procureur, qu’ils avaient eu recours dans l’ensemble à des services moyen de gamme. Le recourant a en outre affirmé qu’il avait envoyé 10'000 fr. à son ex-femme au Kosovo et qu’il avait dépensé le reste pour les besoins de son entretien courant. Compte tenu des explications peu convaincantes du recourant, des recherches complémentaires, telles que celles proposées par la police dans son rapport du 15 janvier 2015, s’avèrent nécessaires au Kosovo, où le recourant paraît avoir bénéficié de soutien et où il serait propriétaire de plusieurs biens immobiliers (P. 63/1). Une demande d’entraide judiciaire internationale est d’ailleurs sur le point d’être adressée aux autorités du Kosovo. Tant que les résultats de cette mesure d’instruction ne sont pas connus, le risque de collusion subsiste et s’oppose à l’élargissement du recourant.</w:t>
      </w:r>
    </w:p>
    <w:p>
      <w:r>
        <w:rPr>
          <w:b/>
        </w:rPr>
        <w:t>E. 4.1</w:t>
      </w:r>
    </w:p>
    <w:p>
      <w:r>
        <w:t>Le recourant invoque une violation du principe de la proportionnalité au regard de la durée de détention subie.</w:t>
      </w:r>
    </w:p>
    <w:p>
      <w:r>
        <w:rPr>
          <w:b/>
        </w:rPr>
        <w:t>E. 4.2</w:t>
      </w:r>
    </w:p>
    <w:p>
      <w:r>
        <w:t>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 ATF 133 I 168 c. 4.1 ; ATF 132 I 21 c. 4.1). Toutefois, le fait que la peine encourue puisse être assortie du sursis, total ou partiel, n'est pas déterminant sous l'angle de la proportionnalité (ATF 133 I 270 c. 3.4.2).</w:t>
      </w:r>
    </w:p>
    <w:p>
      <w:r>
        <w:rPr>
          <w:b/>
        </w:rPr>
        <w:t>E. 4.3</w:t>
      </w:r>
    </w:p>
    <w:p>
      <w:r>
        <w:t>En l’espèce, le recourant, détenu provisoirement depuis le 16 juin 2014, est prévenu d’abus de confiance (art. 138 ch. 1 CP), qui est un crime, passible d’une peine privative de liberté de cinq ans au plus ou d’une peine pécuniaire. Les faits qui lui sont reprochés sont graves, puisqu’ils portent sur une somme de près de 290'000 francs. En outre, il a déjà été condamné à trois reprises entre le 13 novembre 2009 et le 12 décembre 2013 à de courtes peines pécuniaires, en dernier lieu par le Ministère public de l’arrondissement de Lausanne, pour infraction à la LEtr (Loi fédérale sur les étrangers ; RS 142.20) (emploi d’étrangers sans autorisation) et contravention à la LAVS (Loi fédérale sur l’assurance-vieillesse et survivants ; RS 831.10), à 60 jours-amende à 40 fr. le jour et à une amende de 1'000 francs. S’agissant de l’éventualité d’une libération conditionnelle, il n’apparaît pas d’emblée avec certitude que les conditions en soient réunies, contrairement à ce que soutient le recourant (TF 1B_249/2012 du 10 mai 2012 c. 2.1). Au vu de ce qui précède, et s’agissant d’une prolongation limitée à deux mois, la durée de la détention subie par le recourant est encore inférieure à celle de la peine privative de liberté à laquelle il doit s’attendre en cas de condamnation. Il importe cependant que l’instruction se poursuive sans désemparer, afin de respecter également le principe de la célérité (art. 5 CPP), lequel, contrairement à ce que soutient le recourant, n’est pas violé. En effet, même si l’on aurait pu souhaiter que certaines mesures d’instruction se succèdent plus rapidement, on ne constate aucun retard qui serait incompatible avec une procédure impliquant un détenu (cf. art. 5 al. 2 CPP). De brefs temps morts dans une affaire de cette nature ne permettent pas encore de conclure à l’existence d’un manquement particulièrement grave, qui ferait au surplus apparaître que l'autorité de poursuite n'est plus en mesure de conduire la procédure à chef dans un délai raisonnable (ATF 128 I 149 c. 2.2.1). Enfin, aucune mesure de substitution n’est susceptible, pour parer au risque de collusion retenu, d’atteindre le même but que la détention provisoire (art. 212 al. 2 let. c et 237 CPP).</w:t>
      </w:r>
    </w:p>
    <w:p>
      <w:r>
        <w:rPr>
          <w:b/>
        </w:rPr>
        <w:t>E. 5</w:t>
      </w:r>
    </w:p>
    <w:p>
      <w:r>
        <w:t>En définitive, le recours, manifestement mal fondé, doit être rejeté sans autre échange d’écritures (art. 390 al. 2 CPP) et l'ordonnance du 17 mars 2015 confirmée. Les frais de la procédure de recours, constitués en l’espèce de l'émolument d'arrêt (art. 422 al. 1 CPP), par 770 fr. (art. 20 al. 1 TFIP  [tarif des frais de procédure et indemnités en matière pénale du 28 septembre 2010 ; RSV 312.03.1]), et des frais imputables à la défense d'office du recourant (art. 422 al. 1 et 2 let. a CPP), fixés à 630 fr. plus la TVA par 50 fr. 40, soit 680 fr. 40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17 mars 2015 est confirmée. III. L'indemnité allouée au défenseur d'office de C.________ est fixée à 680 fr. 40 (six cent huitante francs et quarante centimes). IV. Les frais du présent arrêt, par 770 fr. (sept cent septante francs), ainsi que l'indemnité due au défenseur d'office de C.________ selon le chiffre III ci-dessus, sont mis à la charge de ce dernier. V. Le remboursement à l'Etat de l'indemnité allouée au chiffre III ci-dessus sera exigible pour autant que la situation de C.________ se soit améliorée. VI. Le présent arrêt est exécutoire. Le président :               Le greffier : Du Le présent arrêt, dont la rédaction a été approuvée à huis clos, est notifié, par l'envoi d'une copie complète, à : - Mme Gloria Capt, avocate (pour C.________), - Ministère public central, et communiqué à : - Mme la Procureure de l’arrondissement de Lausanne, - Mme la Présidente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