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273 vom 31. März 2015</w:t>
      </w:r>
    </w:p>
    <w:p>
      <w:r>
        <w:t>VD Tribunal cantonal, 2015-03-31, FR</w:t>
      </w:r>
    </w:p>
    <w:p>
      <w:r>
        <w:rPr>
          <w:b/>
        </w:rPr>
        <w:t xml:space="preserve">Quelle: </w:t>
      </w:r>
      <w:r>
        <w:t>https://mcp.opencaselaw.ch/entscheid/vd_findinfo_D_cision___2015___273</w:t>
      </w:r>
    </w:p>
    <w:p>
      <w:r>
        <w:t>FR: VD_FINDINFO Décision / 2015 / 273 du 31 mars 2015</w:t>
      </w:r>
    </w:p>
    <w:p>
      <w:r>
        <w:t>IT: VD_FINDINFO Décision / 2015 / 273 del 31 marzo 2015</w:t>
      </w:r>
    </w:p>
    <w:p>
      <w:pPr>
        <w:pStyle w:val="Heading2"/>
      </w:pPr>
      <w:r>
        <w:t>Regeste</w:t>
      </w:r>
    </w:p>
    <w:p>
      <w:r>
        <w:t>RISQUE DE RÉCIDIVE, DÉTENTION PROVISOIRE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w:t>
      </w:r>
    </w:p>
    <w:p>
      <w:r>
        <w:rPr>
          <w:b/>
        </w:rPr>
        <w:t>E. 2.2</w:t>
      </w:r>
    </w:p>
    <w:p>
      <w:r>
        <w:t>En l’espèce, le recourant est mis en cause pour s’être délibérément dirigé, au volant de sa voiture, en direction de sa femme et de son fils alors qu’ils marchaient sur un chemin forestier et les avoir ainsi frôlés. La description des faits donnée par les victimes (P. 4 et 5) est suffisamment précise pour permettre de retenir que les soupçons pesant sur le recourant sont amplement suffisants à l’aune de l’art. 221 al. 1 in initio CPP (ATF 137 IV 122 c. 3.2; TF 1B_39/2014 du 11 février 2014 c. 2.2). Le prévenu ne réfute du reste pas ces soupçons, quand bien même il dit « (…) [contester] l’appréciation juridique qui est faite en l’état des événements qui se sont déroulés dans la nuit du 3 au 4 septembre 2014 » (recours, ch. 8).</w:t>
      </w:r>
    </w:p>
    <w:p>
      <w:r>
        <w:rPr>
          <w:b/>
        </w:rPr>
        <w:t>E. 3.1</w:t>
      </w:r>
    </w:p>
    <w:p>
      <w:r>
        <w:t>Le recourant nie en revanche présenter le risque de réitération toujours retenu par le premier juge, étant ajouté que le risque de fuite est inexistant. Il se prévaut à cet égard de l’expertise psychiatrique. Les conditions fixées à l'art. 221 al. 1 let. a à c CPP étant des conditions alternatives et non cumulatives, la réalisation d'une seule cause suffit pour justifier la détention provisoire (TF 1B_249/2011 du 7 juin 2011 c. 2.4).</w:t>
      </w:r>
    </w:p>
    <w:p>
      <w:r>
        <w:rPr>
          <w:b/>
        </w:rPr>
        <w:t>E. 3.2</w:t>
      </w:r>
    </w:p>
    <w:p>
      <w:r>
        <w:t>Les experts ont expressément relevé l’existence d’un risque de réitération, s’agissant d’infractions du même ordre que celles commises jusqu’ici, notamment dans le milieu familial. Ils ont ajouté qu’il était fort probable que ce risque apparaisse notamment lorsque les capacités de compréhension de la situation vécue par le prévenu étaient dépassées et que son narcissisme fragile était déstabilisé. Il s’agit d’un risque immédiat, qui existerait donc sitôt le prévenu libéré. Il apparaît toutefois que le prévenu faisait régner un climat de violence domestique, comme l’a rapporté la fille aînée du couple, née en 1996, qui n’a pas assisté aux événements de la nuit du 3 au 4 septembre 2014 (PV. aud du 26 septembre 2014 sous P. 3). Ces dires sont confirmés par la thérapeute de l’épouse (rapport du 28 octobre 2014 sous P. 61). Le risque d’actes agressifs est d’autant plus élevé que le prévenu a expressément indiqué qu’il tenait son épouse pour seule responsable de son incarcération, tout comme de la récente séparation d’avec ses enfants (PV aud. du 16 mars 2015, lignes 137-139). Comme le relève du reste le Parquet dans sa requête du 20 mars 2015, ces éléments apparaissent susceptibles de causer précisément le stress favorisant un passage à l’acte mis en évidence par les experts. Le fait que le prévenu se propose de vivre dans un premier temps auprès de son frère, à Morges, s’il venait à être libéré, ne constitue pas une garantie suffisante qu’il renonce à s’approcher de son épouse et de ses enfants. Certes, les experts ont considéré que l’expertisé devrait bénéficier de mesures d’accompagnement psycho-éducatives dispensées par un psychiatre, ainsi que d’un traitement médicamenteux d’appoint, voire sur le long terme, pour gérer ses angoisses et son impulsivité. Le prévenu s’est dit disposé à suivre le programme dispensé sur douze mois par la Fondation Jeunesse et Familles (ViFa), lequel est spécifiquement conçu pour les auteurs de violences domestiques. Une telle durée est significative et dénote du reste l’ampleur des problèmes abordés. Surtout, les effets éventuels du programme ne pourraient se manifester qu’après un certain temps. Ces mesures d’encadrement ne sauraient donc, en l’état, être tenues pour suffisantes pour parer le risque immédiat de nouvelles violences familiales graves. Enfin, toujours à dires d’expert, une peine privative de liberté n’est pas susceptible d’entraver l’application ou d’amoindrir notablement les chances de succès d’un traitement ambulatoire. Le fait que le prévenu soit accessible à une thérapie ne constitue donc pas, en l’état, un motif en défaveur de la détention provisoire. Cela étant, un éventuel complément d’expertise exigé par le Procureur pourrait apporter de plus amples éléments d’appréciation.</w:t>
      </w:r>
    </w:p>
    <w:p>
      <w:r>
        <w:rPr>
          <w:b/>
        </w:rPr>
        <w:t>E. 4</w:t>
      </w:r>
    </w:p>
    <w:p>
      <w:r>
        <w:t>Enfin, sous l’angle de la proportionnalité, il doit être relevé que le prévenu s'expose à une peine privative de liberté d’une durée restant supérieure à celle de la détention provisoire qu’il aura subie à l’échéance prévue en dernier lieu avant l’ordonnance entreprise, soit au 4 avril 2015. Le principe de la proportionnalité demeure donc respecté (ATF 133 I 168 c. 4.1 et les arrêts cités; ATF 132 I 21 c. 4.1; TF 1B_411/2011 du 31 août 2011 c. 4.1). A cet égard, le fait que la peine encourue puisse être assortie du sursis, total ou partiel, n'est pas déterminant sous l'angle de la proportionnalité (ATF 133 I 270 c. 3.4.2).</w:t>
      </w:r>
    </w:p>
    <w:p>
      <w:r>
        <w:rPr>
          <w:b/>
        </w:rPr>
        <w:t>E. 5</w:t>
      </w:r>
    </w:p>
    <w:p>
      <w:r>
        <w:t>En définitive, le recours, manifestement mal fondé, doit être rejeté sans autre échange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mars 2015 est confirmée. III. L’indemnité allouée au défenseur d’office de F.________ est fixée à 583 fr. 20 (cinq cent huitante-trois francs et vingt centimes). IV. Les frais d’arrêt, par 770 fr. (sept cent septante francs), ainsi que l’indemnité due au défenseur d’office de F.________, par 583 fr. 20 (cinq cent huitante-trois francs et vingt centimes), sont mis à la charge de ce dernier. V. Le remboursement à l'Etat de l'indemnité allouée au chiffre III ci-dessus ne sera exigible que pour autant que la situation économique de F.________ se soit améliorée. VI. Le présent arrêt est exécutoire. Le président :               Le greffier : Du Le présent arrêt, dont la rédaction a été approuvée à huis clos, est notifié, par l'envoi d'une copie complète, à : - M. Sébastien Pedroli, avocat (pour F.________),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