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 vom 13. Januar 2015</w:t>
      </w:r>
    </w:p>
    <w:p>
      <w:r>
        <w:t>VD Tribunal cantonal, 2015-01-13, FR</w:t>
      </w:r>
    </w:p>
    <w:p>
      <w:r>
        <w:rPr>
          <w:b/>
        </w:rPr>
        <w:t xml:space="preserve">Quelle: </w:t>
      </w:r>
      <w:r>
        <w:t>https://mcp.opencaselaw.ch/entscheid/vd_findinfo_D_cision___2015___27</w:t>
      </w:r>
    </w:p>
    <w:p>
      <w:r>
        <w:t>FR: VD_FINDINFO Décision / 2015 / 27 du 13 janvier 2015</w:t>
      </w:r>
    </w:p>
    <w:p>
      <w:r>
        <w:t>IT: VD_FINDINFO Décision / 2015 / 27 del 13 gennaio 2015</w:t>
      </w:r>
    </w:p>
    <w:p>
      <w:pPr>
        <w:pStyle w:val="Heading2"/>
      </w:pPr>
      <w:r>
        <w:t>Regeste</w:t>
      </w:r>
    </w:p>
    <w:p>
      <w:r>
        <w:t>VOIES DE FAIT, CLASSEMENT DE LA PROCÉDURE | 126 al. 1 CP, 177 al. 3 CP, 319 CPP (CH), 395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la qualité pour recourir (art. 382 al. 1 CPP), et satisfaisant aux conditions de forme posées par la loi (art. 385 al. 1 CPP), le recours est recevable.</w:t>
      </w:r>
    </w:p>
    <w:p>
      <w:r>
        <w:rPr>
          <w:b/>
        </w:rPr>
        <w:t>E. 1.2</w:t>
      </w:r>
    </w:p>
    <w:p>
      <w:r>
        <w:t>L’art. 395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(let. a) lorsqu’il porte exclusivement sur des contraventions ou (let.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si bien que le recours relève de la compétence d’un juge unique de la Chambre des recours pénale (CREP 8 décembre 2014/878 c. 1.2).</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cf. ég. ATF 138 IV 186 c. 4).</w:t>
      </w:r>
    </w:p>
    <w:p>
      <w:r>
        <w:rPr>
          <w:b/>
        </w:rPr>
        <w:t>E. 2.2</w:t>
      </w:r>
    </w:p>
    <w:p>
      <w:r>
        <w:t>En l’espèce, le Procureur a retenu que le comportement de la plaignante était à l’origine du geste de riposte du prévenu et a renoncé à prononcer toute sanction à l’encontre de L.________, en application de l’art. 177 al. 3 CP. A cet égard, on relèvera que les déclarations des parties sont contradictoires, de sorte qu’il est difficile d’établir le déroulement exact des événements relatifs à l’altercation du 11 avril 2014. En particulier, alors que la recourante conteste avoir injurié l’intimé, celui-ci soutient avoir agi en réaction à plusieurs insultes de sa part. Il est difficile, dans ce contexte, de déterminer avec précision les agissements de chacun des protagonistes. Il apparaît toutefois que des mesures d’instruction pouvaient être entreprises, dès lors que le frère de l’intimé, qui est aussi le compagnon de la recourante, était présent au moment des faits. Celui-ci n’a pourtant pas été auditionné du fait qu’il ne se trouvait pas dans la même pièce que les deux autres protagonistes. Or il convenait de l’entendre, son audition pouvant à l’évidence apporter un éclaircissement sur le caractère de la visite du prévenu et le déroulement de l’altercation. Dans ces circonstances, la procédure a été classée de façon prématurée et le Ministère public devra procéder aux mesures d'instruction précitées. Compte tenu de ce qui précède, la question de l’application de l’art. 177 al. 3 CP en faveur du prévenu n’a pas à être examinée.</w:t>
      </w:r>
    </w:p>
    <w:p>
      <w:r>
        <w:rPr>
          <w:b/>
        </w:rPr>
        <w:t>E. 3</w:t>
      </w:r>
    </w:p>
    <w:p>
      <w:r>
        <w:t>En définitive, le recours doit être admis, l’ordonnance du 23 septembre 2014 annulée et le dossier de la cause renvoyé au Ministère public de l’arrondissement de l’Est vaudois pour qu’il procède dans le sens des considérants. Les frais de la procédure de recours, constitués en l’espèce uniquement de l’émolument d’arrêt, par 660 fr. (art. 20 al. 1 TFIP [tarif des frais de procédure et indemnités en matière pénale du 28 septembre 2010 ; RSV 312.03.1]), seront laissés à la charge de l’Etat (art. 423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le juge unique prononce : I. Le recours est admis. II. L’ordonnance du 23 septembre 2014 est annulée. III. Le dossier de la cause est renvoyé au Ministère public de l’arrondissement de l’Est vaudois pour qu’il procède dans le sens des considérants. IV. Les frais de la procédure de recours, par 660 fr. (six cent soixante francs), sont laissés à la charge de l’Etat. V. Le présent arrêt est exécutoire. Le juge unique :               La greffière : Du Le présent arrêt, dont la rédaction a été approuvée à huis clos, est notifié, par l'envoi d'une copie complète, à : - M. Damien Hottelier, avocat (pour R.________), - M. Patrick Moser, avocat (pour L.________),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