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264 vom 30. März 2015</w:t>
      </w:r>
    </w:p>
    <w:p>
      <w:r>
        <w:t>VD Tribunal cantonal, 2015-03-30, FR</w:t>
      </w:r>
    </w:p>
    <w:p>
      <w:r>
        <w:rPr>
          <w:b/>
        </w:rPr>
        <w:t xml:space="preserve">Quelle: </w:t>
      </w:r>
      <w:r>
        <w:t>https://mcp.opencaselaw.ch/entscheid/vd_findinfo_D_cision___2015___264</w:t>
      </w:r>
    </w:p>
    <w:p>
      <w:r>
        <w:t>FR: VD_FINDINFO Décision / 2015 / 264 du 30 mars 2015</w:t>
      </w:r>
    </w:p>
    <w:p>
      <w:r>
        <w:t>IT: VD_FINDINFO Décision / 2015 / 264 del 30 marzo 2015</w:t>
      </w:r>
    </w:p>
    <w:p>
      <w:pPr>
        <w:pStyle w:val="Heading2"/>
      </w:pPr>
      <w:r>
        <w:t>Regeste</w:t>
      </w:r>
    </w:p>
    <w:p>
      <w:r>
        <w:t>DÉTENTION PROVISOIRE, PROLONGATION, RISQUE DE RÉCIDIVE, SOUPÇON, PROPORTIONNALITÉ | 221 al. 1 let. c CPP (CH), 222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le recourant nie intégralement les faits qui lui sont reprochés or, la version constante de la plaignante est corroborée par plusieurs témoignages. En effet, L.________, employeur d’I.________, qui décrit le prévenu comme une personne ayant un comportement « possessif et jaloux » à l’égard de la prénommée, a déclaré avoir constaté un jour, durant le mois de décembre 2014, que cette dernière avait le visage tuméfié et qu’elle était terrifiée (PV aud. du 4 mars 2015). Questionnée à propos de l’origine de sa blessure, la jeune femme lui aurait dit avoir été frappée pas son compagnon (ibid.). Le témoin H.________ a également constaté une blessure sur le nez d’I.________ au mois de décembre 2014 (cf. PV aud. du 4 mars 2015). Celle-ci lui a expliqué avoir été tapée dans la voiture par le prévenu et avoir mal aux côtes (ibid.). A cela s’ajoutent les déclarations de E.________, qui a déclaré avoir surpris une dispute entre le prévenu et I.________, laquelle criait et pleurait (PV aud. du 4 mars 2015). Enfin, Q.________ a déposé plainte contre le prévenu après avoir été victime du comportement routier agressif de ce dernier le 24 décembre 2014. Par ailleurs, la perquisition du véhicule du recourant a permis la découverte d’un bidon d’essence, d’une corde et d’une queue de billard – que la plaignante semble avoir confondue avec une batte de baseball –, ce qui corrobore, une fois de plus, les déclarations d’I.________. Certes, les contrôles et prélèvements effectués dans le véhicule du recourant n’ont pas permis de mettre en évidence des traces de sang, ce qui ne veut pas pour autant dire qu’il n’y a pas eu de coups portés à la victime, mais seulement que celle-ci n’a pas saigné à l’intérieur du véhicule. Le recourant s’en prend encore à des divergences qui existeraient dans les différentes dépositions. Cela relèvera toutefois de l’appréciation du juge du fond. En effet, 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(TF 1B_39/2014 du 11 février 2014 c. 2.2). Au vu des éléments qui précèdent, il existe une présomption suffisamment sérieuse de culpabilité à l’encontre de J.________.</w:t>
      </w:r>
    </w:p>
    <w:p>
      <w:r>
        <w:rPr>
          <w:b/>
        </w:rPr>
        <w:t>E. 3.1</w:t>
      </w:r>
    </w:p>
    <w:p>
      <w:r>
        <w:t>Le recourant conteste le risque de récidive (art. 221 al. 1 let. c CPP).</w:t>
      </w:r>
    </w:p>
    <w:p>
      <w:r>
        <w:rPr>
          <w:b/>
        </w:rPr>
        <w:t>E. 3.2</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rPr>
          <w:b/>
        </w:rPr>
        <w:t>E. 3.3</w:t>
      </w:r>
    </w:p>
    <w:p>
      <w:r>
        <w:t>En l’espèce, comme la Cour de céans l’a constaté dans son arrêt du 12 mars 2015, le fait de battre systématiquement sa compagne, de menacer de la tuer, puis de la mettre en danger sur la route révèle un comportement à risque et une absence de maîtrise des pulsions. Ces faits sont graves et il y a sérieusement à craindre qu’en cas de libération, le recourant réitère de tels agissements en attentant gravement à l’intégrité corporelle de la plaignante, voire en s’en prenant à la vie de cette dernière. En outre, une expertise psychiatrique étant en cours, une libération est inopportune à tout le moins avant que les premières conclusions orales des experts soient délivrées. Dans ces conditions et au vu du caractère violent du recourant, le risque de réitération est réalisé.</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J.________ est détenu depuis le 24 décembre 2014, soit depuis trois mois. Compte tenu de la gravité des actes qui lui sont reprochés, le recourant s'expose à une peine privative de liberté d’une durée manifestement supérieure à celle de la détention provisoire subie à ce jour.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de J.________ ne sera toutefois exigible que pour autant que la situation économique de ce dernier se soit améliorée (art. 135 al. 4 CPP). Par ces motifs, la Chambre des recours pénale prononce : I. Le recours est rejeté. II. L’ordonnance du 24 mars 2015 est confirmée. III. L’indemnité allouée au défenseur d’office de J.________ est fixée à 680 fr. 40 (six cent huitante francs et quarante centimes). IV. Les frais d’arrêt, par 880 fr. (huit cent huitante francs), ainsi que l’indemnité due au défenseur d’office de J.________, par 680 fr. 40 (six cent huitante francs et quarante centimes), sont mis à la charge de ce dernier. V. Le remboursement à l'Etat de l'indemnité allouée au chiffre III ci-dessus ne sera exigible que pour autant que la situation économique de J.________ se soit améliorée. VI. Le présent arrêt est exécutoire. Le président :               La greffière : Du Le présent arrêt, dont la rédaction a été approuvée à huis clos, est notifié, par l'envoi d'une copie complète, à : - M. Jeton Kryeziu, avocat (pour J.________), - Ministère public central, et communiqué à : - Mme Charlotte Iselin, avocate (pour I.________),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