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 vom 29. Dezember 2014</w:t>
      </w:r>
    </w:p>
    <w:p>
      <w:r>
        <w:t>VD Tribunal cantonal, 2014-12-29, FR</w:t>
      </w:r>
    </w:p>
    <w:p>
      <w:r>
        <w:rPr>
          <w:b/>
        </w:rPr>
        <w:t xml:space="preserve">Quelle: </w:t>
      </w:r>
      <w:r>
        <w:t>https://mcp.opencaselaw.ch/entscheid/vd_findinfo_D_cision___2015___26</w:t>
      </w:r>
    </w:p>
    <w:p>
      <w:r>
        <w:t>FR: VD_FINDINFO Décision / 2015 / 26 du 29 décembre 2014</w:t>
      </w:r>
    </w:p>
    <w:p>
      <w:r>
        <w:t>IT: VD_FINDINFO Décision / 2015 / 26 del 29 dicembre 2014</w:t>
      </w:r>
    </w:p>
    <w:p>
      <w:pPr>
        <w:pStyle w:val="Heading2"/>
      </w:pPr>
      <w:r>
        <w:t>Regeste</w:t>
      </w:r>
    </w:p>
    <w:p>
      <w:r>
        <w:t>CLASSEMENT DE LA PROCÉDURE, VIOLATION D'UNE OBLIGATION D'ENTRETIEN | 217 CP,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3.1</w:t>
      </w:r>
    </w:p>
    <w:p>
      <w:r>
        <w:t>Aux termes de l’art. 217 CP, se rend coupable de violation d’une obligation d’entretien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vol. II, 3 e éd., Berne 2010, n. 14 ad art. 217 CP). En revanche, on ne peut reprocher à l’auteur d’avoir violé son obligation d’entretien que s’il avait les moyens de la remplir ou aurait pu les avoir (Corboz, op. cit., n. 20 ad art. 217 CP). L’art. 217 CP exige du débiteur qu’il entreprenne tout ce que l’on peut raisonnablement attendre de lui pour se procurer des revenus suffisants (ATF 126 IV 131 c. 3). La capacité économique du débiteur de verser la contribution d’entretien se détermine par analogie avec le droit des poursuites relatif au minimum vital (art. 93 LP [loi fédérale du 11 avril 1889 sur la poursuite pour dettes et faillite, RS 281.1]; ATF 121 IV 272 c. 3c). Le juge pénal est lié par la contribution d’entretien fixée par le juge civil (ATF 106 IV 36; TF 6B_264/2011 du 19 juillet 2011 c. 2.1.3). En revanche, la question de savoir quelles sont les ressources qu’aurait pu avoir le débiteur d’entretien doit être tranchée par le juge pénal s’agissant d’une condition objective de punissabilité au regard de l’art. 217 CP. Le juge pénal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6B_573/2013 du 1 er octobre 2013 c. 1.1).</w:t>
      </w:r>
    </w:p>
    <w:p>
      <w:r>
        <w:rPr>
          <w:b/>
        </w:rPr>
        <w:t>E. 3.2</w:t>
      </w:r>
    </w:p>
    <w:p>
      <w:r>
        <w:t>En l’espèce, on doit admettre avec la recourante que le Ministère public ne pouvait se fonder sur les seules déclarations du prévenu pour exclure l’infraction précitée, sans procéder à aucune vérification. L’instruction devra donc être complétée. S’agissant en particulier des pensions alimentaires, il appartiendra au procureur, sur la base des pièces pertinentes, de calculer le manco éventuel subi par la plaignante et, le cas échéant, pour autant que la prescription ne soit pas atteinte, de requérir du prévenu les pièces permettant d’établir sa capacité économique, en particulier les charges qu’il supportait effectivement, en s’inspirant des règles du droit des poursuites relatives au minimum vital. Selon les résultats obtenus, il conviendra de déterminer si le prévenu disposait ou non de moyens suffisants, ou aurait pu les avoir, pour acquitter la contribution alimentaire.</w:t>
      </w:r>
    </w:p>
    <w:p>
      <w:r>
        <w:rPr>
          <w:b/>
        </w:rPr>
        <w:t>E. 4</w:t>
      </w:r>
    </w:p>
    <w:p>
      <w:r>
        <w:t>Il résulte de ce qui précède que le recours doit être admis, l’ordonnance attaquée annulée et le dossier de la cause renvoyé au Ministère public de l’arrondissement de l’Est vaudois pour qu’il procède dans le sens des considérants (cf. c. 3.3 supra). Les frais de la procédure de recours, constitués du seul émolument d'arrêt, par 550 fr. (art. 20 al. 1 TFIP [Tarif des frais de procédure et indemnités en matière pénale du 28 septembre 2010, RSV 312.03.1]), seront laissés à la charge de l'Etat (art. 428 al. 4 CPP). Par ces motifs, la Chambre des recours pénale prononce : I. Le recours est admis. II. L’ordonnance du 28 octobre 2014 est annulée. III. Le dossier de la cause est renvoyé au Ministère public de l’arrondissement de l’Est vaudois pour qu’il procède dans le sens des considérants.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Mme S.L.________, - M. B.L.________,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